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5134" w14:textId="77777777" w:rsidR="000F5D48" w:rsidRPr="005010A3" w:rsidRDefault="000F5D48">
      <w:pPr>
        <w:rPr>
          <w:rFonts w:cstheme="minorHAnsi"/>
        </w:rPr>
      </w:pPr>
    </w:p>
    <w:p w14:paraId="7F496815" w14:textId="0DD769DF" w:rsidR="00481536" w:rsidRPr="005010A3" w:rsidRDefault="00213A96">
      <w:pPr>
        <w:rPr>
          <w:rFonts w:cstheme="minorHAnsi"/>
        </w:rPr>
      </w:pPr>
      <w:r w:rsidRPr="005010A3">
        <w:rPr>
          <w:rFonts w:cstheme="minorHAnsi"/>
          <w:noProof/>
          <w:lang w:val="en-US"/>
        </w:rPr>
        <w:drawing>
          <wp:anchor distT="0" distB="3810" distL="114300" distR="121920" simplePos="0" relativeHeight="2" behindDoc="1" locked="0" layoutInCell="1" allowOverlap="1" wp14:anchorId="1FC98767" wp14:editId="115C4965">
            <wp:simplePos x="0" y="0"/>
            <wp:positionH relativeFrom="margin">
              <wp:posOffset>4142740</wp:posOffset>
            </wp:positionH>
            <wp:positionV relativeFrom="margin">
              <wp:posOffset>-413385</wp:posOffset>
            </wp:positionV>
            <wp:extent cx="1725930" cy="1348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1725930" cy="1348740"/>
                    </a:xfrm>
                    <a:prstGeom prst="rect">
                      <a:avLst/>
                    </a:prstGeom>
                  </pic:spPr>
                </pic:pic>
              </a:graphicData>
            </a:graphic>
          </wp:anchor>
        </w:drawing>
      </w:r>
    </w:p>
    <w:p w14:paraId="3E2AF46D" w14:textId="77777777" w:rsidR="00481536" w:rsidRPr="005010A3" w:rsidRDefault="00481536">
      <w:pPr>
        <w:rPr>
          <w:rFonts w:cstheme="minorHAnsi"/>
        </w:rPr>
      </w:pPr>
    </w:p>
    <w:p w14:paraId="10EFCAC0" w14:textId="77777777" w:rsidR="00481536" w:rsidRPr="005010A3" w:rsidRDefault="00481536">
      <w:pPr>
        <w:rPr>
          <w:rFonts w:cstheme="minorHAnsi"/>
        </w:rPr>
      </w:pPr>
    </w:p>
    <w:p w14:paraId="5A41D05C" w14:textId="77777777" w:rsidR="00481536" w:rsidRPr="005010A3" w:rsidRDefault="00213A96">
      <w:pPr>
        <w:jc w:val="center"/>
        <w:rPr>
          <w:rFonts w:cstheme="minorHAnsi"/>
        </w:rPr>
      </w:pPr>
      <w:r w:rsidRPr="005010A3">
        <w:rPr>
          <w:rFonts w:cstheme="minorHAnsi"/>
          <w:noProof/>
          <w:lang w:val="en-US"/>
        </w:rPr>
        <w:drawing>
          <wp:inline distT="0" distB="0" distL="0" distR="0" wp14:anchorId="1C786C67" wp14:editId="52E3748C">
            <wp:extent cx="2962275" cy="29622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cstate="print"/>
                    <a:stretch>
                      <a:fillRect/>
                    </a:stretch>
                  </pic:blipFill>
                  <pic:spPr bwMode="auto">
                    <a:xfrm>
                      <a:off x="0" y="0"/>
                      <a:ext cx="2962275" cy="2962275"/>
                    </a:xfrm>
                    <a:prstGeom prst="rect">
                      <a:avLst/>
                    </a:prstGeom>
                  </pic:spPr>
                </pic:pic>
              </a:graphicData>
            </a:graphic>
          </wp:inline>
        </w:drawing>
      </w:r>
    </w:p>
    <w:p w14:paraId="29E3447F" w14:textId="77777777" w:rsidR="00481536" w:rsidRPr="005010A3" w:rsidRDefault="00481536">
      <w:pPr>
        <w:rPr>
          <w:rFonts w:cstheme="minorHAnsi"/>
        </w:rPr>
      </w:pPr>
    </w:p>
    <w:p w14:paraId="0EC78545" w14:textId="77777777" w:rsidR="00481536" w:rsidRPr="005010A3" w:rsidRDefault="00481536">
      <w:pPr>
        <w:jc w:val="right"/>
        <w:rPr>
          <w:rFonts w:cstheme="minorHAnsi"/>
        </w:rPr>
      </w:pPr>
    </w:p>
    <w:p w14:paraId="17506656" w14:textId="77777777" w:rsidR="00074474" w:rsidRPr="00BE38E9" w:rsidRDefault="00213A96" w:rsidP="00BE38E9">
      <w:pPr>
        <w:pStyle w:val="Subtitle"/>
      </w:pPr>
      <w:r w:rsidRPr="00BE38E9">
        <w:t>Na</w:t>
      </w:r>
      <w:r w:rsidR="00074474" w:rsidRPr="00BE38E9">
        <w:t xml:space="preserve">tional Energy Emissions Audit </w:t>
      </w:r>
    </w:p>
    <w:p w14:paraId="0272A28D" w14:textId="6B962864" w:rsidR="00481536" w:rsidRPr="00BE38E9" w:rsidRDefault="001831F0" w:rsidP="00BE38E9">
      <w:pPr>
        <w:pStyle w:val="Subtitle"/>
      </w:pPr>
      <w:r>
        <w:t>Report</w:t>
      </w:r>
    </w:p>
    <w:p w14:paraId="02D29C45" w14:textId="77777777" w:rsidR="00481536" w:rsidRPr="005010A3" w:rsidRDefault="00481536">
      <w:pPr>
        <w:pStyle w:val="Subtitle"/>
        <w:ind w:left="0" w:firstLine="340"/>
        <w:jc w:val="right"/>
        <w:rPr>
          <w:rFonts w:asciiTheme="minorHAnsi" w:hAnsiTheme="minorHAnsi" w:cstheme="minorHAnsi"/>
          <w:color w:val="FF5E00" w:themeColor="accent5"/>
          <w:sz w:val="32"/>
          <w:szCs w:val="32"/>
        </w:rPr>
      </w:pPr>
    </w:p>
    <w:p w14:paraId="63B36174" w14:textId="77777777" w:rsidR="006E72C4" w:rsidRDefault="006E72C4">
      <w:pPr>
        <w:pStyle w:val="Subtitle"/>
        <w:ind w:left="0" w:firstLine="340"/>
        <w:jc w:val="right"/>
        <w:rPr>
          <w:rFonts w:asciiTheme="minorHAnsi" w:hAnsiTheme="minorHAnsi" w:cstheme="minorHAnsi"/>
          <w:color w:val="FF5E00" w:themeColor="accent5"/>
          <w:sz w:val="32"/>
          <w:szCs w:val="32"/>
        </w:rPr>
      </w:pPr>
    </w:p>
    <w:p w14:paraId="771D344F" w14:textId="19D64DF2" w:rsidR="00481536" w:rsidRPr="005010A3" w:rsidRDefault="00854BD5">
      <w:pPr>
        <w:pStyle w:val="Subtitle"/>
        <w:ind w:left="0" w:firstLine="340"/>
        <w:jc w:val="right"/>
        <w:rPr>
          <w:rFonts w:asciiTheme="minorHAnsi" w:hAnsiTheme="minorHAnsi" w:cstheme="minorHAnsi"/>
          <w:color w:val="FF5E00" w:themeColor="accent5"/>
          <w:sz w:val="32"/>
          <w:szCs w:val="32"/>
        </w:rPr>
      </w:pPr>
      <w:r>
        <w:rPr>
          <w:rFonts w:asciiTheme="minorHAnsi" w:hAnsiTheme="minorHAnsi" w:cstheme="minorHAnsi"/>
          <w:color w:val="FF5E00" w:themeColor="accent5"/>
          <w:sz w:val="32"/>
          <w:szCs w:val="32"/>
        </w:rPr>
        <w:t xml:space="preserve">October </w:t>
      </w:r>
      <w:r w:rsidR="00CC0EF8">
        <w:rPr>
          <w:rFonts w:asciiTheme="minorHAnsi" w:hAnsiTheme="minorHAnsi" w:cstheme="minorHAnsi"/>
          <w:color w:val="FF5E00" w:themeColor="accent5"/>
          <w:sz w:val="32"/>
          <w:szCs w:val="32"/>
        </w:rPr>
        <w:t>2021</w:t>
      </w:r>
    </w:p>
    <w:p w14:paraId="366CB582" w14:textId="1685DD15" w:rsidR="00481536" w:rsidRPr="005010A3" w:rsidRDefault="00213A96">
      <w:pPr>
        <w:pStyle w:val="Abstract"/>
        <w:jc w:val="right"/>
        <w:rPr>
          <w:rFonts w:cstheme="minorHAnsi"/>
          <w:b w:val="0"/>
          <w:i w:val="0"/>
          <w:color w:val="FF5E00" w:themeColor="accent5"/>
          <w:sz w:val="40"/>
        </w:rPr>
      </w:pPr>
      <w:r w:rsidRPr="005010A3">
        <w:rPr>
          <w:rFonts w:cstheme="minorHAnsi"/>
          <w:b w:val="0"/>
          <w:i w:val="0"/>
          <w:color w:val="FF5E00" w:themeColor="accent5"/>
          <w:sz w:val="40"/>
        </w:rPr>
        <w:t>Providing a comprehensive, up-to-date indication of trends in Australia</w:t>
      </w:r>
      <w:r w:rsidR="001831F0">
        <w:rPr>
          <w:rFonts w:cstheme="minorHAnsi"/>
          <w:b w:val="0"/>
          <w:i w:val="0"/>
          <w:color w:val="FF5E00" w:themeColor="accent5"/>
          <w:sz w:val="40"/>
        </w:rPr>
        <w:t>’s energy combustion emissions</w:t>
      </w:r>
    </w:p>
    <w:p w14:paraId="037C0AFB" w14:textId="77777777" w:rsidR="00481536" w:rsidRPr="005010A3" w:rsidRDefault="00481536">
      <w:pPr>
        <w:jc w:val="right"/>
        <w:rPr>
          <w:rFonts w:cstheme="minorHAnsi"/>
          <w:b/>
          <w:lang w:val="en-US"/>
        </w:rPr>
      </w:pPr>
    </w:p>
    <w:p w14:paraId="48BDEEFD" w14:textId="1374B38A" w:rsidR="00481536" w:rsidRPr="005010A3" w:rsidRDefault="00213A96">
      <w:pPr>
        <w:ind w:left="5040" w:right="282"/>
        <w:rPr>
          <w:rFonts w:cstheme="minorHAnsi"/>
          <w:b/>
          <w:sz w:val="28"/>
          <w:lang w:val="en-US"/>
        </w:rPr>
      </w:pPr>
      <w:r w:rsidRPr="005010A3">
        <w:rPr>
          <w:rFonts w:cstheme="minorHAnsi"/>
          <w:b/>
          <w:sz w:val="28"/>
          <w:lang w:val="en-US"/>
        </w:rPr>
        <w:t>Author:</w:t>
      </w:r>
      <w:r w:rsidR="001D5366">
        <w:rPr>
          <w:rFonts w:cstheme="minorHAnsi"/>
          <w:b/>
          <w:sz w:val="28"/>
          <w:lang w:val="en-US"/>
        </w:rPr>
        <w:t xml:space="preserve"> </w:t>
      </w:r>
      <w:r w:rsidRPr="005010A3">
        <w:rPr>
          <w:rFonts w:cstheme="minorHAnsi"/>
          <w:b/>
          <w:sz w:val="28"/>
          <w:lang w:val="en-US"/>
        </w:rPr>
        <w:tab/>
        <w:t>Hugh Saddler</w:t>
      </w:r>
    </w:p>
    <w:p w14:paraId="22C9DE72" w14:textId="77777777" w:rsidR="00EB2E75" w:rsidRDefault="00EB2E75" w:rsidP="00BE38E9">
      <w:pPr>
        <w:ind w:right="282"/>
        <w:rPr>
          <w:rFonts w:cstheme="minorHAnsi"/>
          <w:b/>
          <w:bCs/>
          <w:color w:val="000000"/>
          <w:sz w:val="36"/>
          <w:szCs w:val="36"/>
        </w:rPr>
      </w:pPr>
    </w:p>
    <w:p w14:paraId="6CBB93EC" w14:textId="75FDC05E" w:rsidR="00481536" w:rsidRPr="005010A3" w:rsidRDefault="00213A96" w:rsidP="00BE38E9">
      <w:pPr>
        <w:ind w:right="282"/>
        <w:rPr>
          <w:rFonts w:cstheme="minorHAnsi"/>
          <w:b/>
          <w:bCs/>
          <w:color w:val="000000"/>
          <w:sz w:val="36"/>
          <w:szCs w:val="36"/>
        </w:rPr>
      </w:pPr>
      <w:r w:rsidRPr="005010A3">
        <w:rPr>
          <w:rFonts w:cstheme="minorHAnsi"/>
          <w:b/>
          <w:bCs/>
          <w:color w:val="000000"/>
          <w:sz w:val="36"/>
          <w:szCs w:val="36"/>
        </w:rPr>
        <w:lastRenderedPageBreak/>
        <w:t>ABOUT THE AUSTRALIA INSTITUTE</w:t>
      </w:r>
    </w:p>
    <w:p w14:paraId="7326A6F6" w14:textId="77777777" w:rsidR="00481536" w:rsidRPr="005010A3" w:rsidRDefault="00213A96">
      <w:pPr>
        <w:rPr>
          <w:rFonts w:cstheme="minorHAnsi"/>
          <w:szCs w:val="24"/>
        </w:rPr>
      </w:pPr>
      <w:r w:rsidRPr="005010A3">
        <w:rPr>
          <w:rFonts w:cstheme="minorHAnsi"/>
        </w:rPr>
        <w:t xml:space="preserve">The Australia Institute is an independent public policy think tank based in Canberra. It is funded by donations from philanthropic trusts and individuals and commissioned research. We barrack for ideas, not political parties or candidates. Since its launch in 1994, the Institute has carried out highly influential research on a broad range of economic, social and environmental issues. </w:t>
      </w:r>
    </w:p>
    <w:p w14:paraId="2CE030AB" w14:textId="77777777" w:rsidR="00481536" w:rsidRPr="005010A3" w:rsidRDefault="00213A96">
      <w:pPr>
        <w:spacing w:before="480" w:after="120"/>
        <w:rPr>
          <w:rFonts w:cstheme="minorHAnsi"/>
          <w:b/>
          <w:bCs/>
          <w:color w:val="000000"/>
          <w:sz w:val="36"/>
          <w:szCs w:val="36"/>
        </w:rPr>
      </w:pPr>
      <w:r w:rsidRPr="005010A3">
        <w:rPr>
          <w:rFonts w:cstheme="minorHAnsi"/>
          <w:b/>
          <w:bCs/>
          <w:color w:val="000000"/>
          <w:sz w:val="36"/>
          <w:szCs w:val="36"/>
        </w:rPr>
        <w:t>OUR PHILOSOPHY</w:t>
      </w:r>
    </w:p>
    <w:p w14:paraId="2FB7C8FE" w14:textId="77777777" w:rsidR="00481536" w:rsidRPr="005010A3" w:rsidRDefault="00213A96">
      <w:pPr>
        <w:rPr>
          <w:rFonts w:cstheme="minorHAnsi"/>
          <w:szCs w:val="24"/>
        </w:rPr>
      </w:pPr>
      <w:r w:rsidRPr="005010A3">
        <w:rPr>
          <w:rFonts w:cstheme="minorHAnsi"/>
        </w:rPr>
        <w:t>As we begin the 21st century, new dilemmas confront our society and our planet. Unprecedented levels of consumption co-exist with extreme poverty. Through new technology we are more connected than we have ever been, yet civic engagement is declining. Environmental neglect continues despite heightened ecological awareness. A better balance is urgently needed.</w:t>
      </w:r>
    </w:p>
    <w:p w14:paraId="38A68CF1" w14:textId="77777777" w:rsidR="00481536" w:rsidRPr="005010A3" w:rsidRDefault="00213A96">
      <w:pPr>
        <w:rPr>
          <w:rFonts w:cstheme="minorHAnsi"/>
        </w:rPr>
      </w:pPr>
      <w:r w:rsidRPr="005010A3">
        <w:rPr>
          <w:rFonts w:cstheme="minorHAnsi"/>
        </w:rPr>
        <w:t>The Australia Institute’s directors, staff and supporters represent a broad range of views and priorities. What unites us is a belief that through a combination of research and creativity we can promote new solutions and ways of thinking.</w:t>
      </w:r>
    </w:p>
    <w:p w14:paraId="6879DD21" w14:textId="77777777" w:rsidR="00481536" w:rsidRPr="005010A3" w:rsidRDefault="00213A96">
      <w:pPr>
        <w:spacing w:before="480" w:after="120"/>
        <w:rPr>
          <w:rFonts w:cstheme="minorHAnsi"/>
          <w:b/>
          <w:bCs/>
          <w:color w:val="000000"/>
          <w:sz w:val="36"/>
          <w:szCs w:val="36"/>
        </w:rPr>
      </w:pPr>
      <w:r w:rsidRPr="005010A3">
        <w:rPr>
          <w:rFonts w:cstheme="minorHAnsi"/>
          <w:b/>
          <w:bCs/>
          <w:color w:val="000000"/>
          <w:sz w:val="36"/>
          <w:szCs w:val="36"/>
        </w:rPr>
        <w:t>OUR PURPOSE – ‘RESEARCH THAT MATTERS’</w:t>
      </w:r>
    </w:p>
    <w:p w14:paraId="26252431" w14:textId="77777777" w:rsidR="00481536" w:rsidRPr="005010A3" w:rsidRDefault="00213A96">
      <w:pPr>
        <w:rPr>
          <w:rFonts w:cstheme="minorHAnsi"/>
          <w:szCs w:val="24"/>
        </w:rPr>
      </w:pPr>
      <w:r w:rsidRPr="005010A3">
        <w:rPr>
          <w:rFonts w:cstheme="minorHAnsi"/>
        </w:rPr>
        <w:t>The Institute publishes research that contributes to a more just, sustainable and peaceful society. Our goal is to gather, interpret and communicate evidence in order to both diagnose the problems we face and propose new solutions to tackle them.</w:t>
      </w:r>
    </w:p>
    <w:p w14:paraId="79EA202C" w14:textId="679A11C9" w:rsidR="00481536" w:rsidRPr="005010A3" w:rsidRDefault="00213A96">
      <w:pPr>
        <w:rPr>
          <w:rFonts w:cstheme="minorHAnsi"/>
        </w:rPr>
      </w:pPr>
      <w:r w:rsidRPr="005010A3">
        <w:rPr>
          <w:rFonts w:cstheme="minorHAnsi"/>
        </w:rPr>
        <w:t xml:space="preserve">The Institute is wholly independent and not affiliated with any other organisation. Donations to its Research Fund are tax deductible. Anyone wishing to donate can do so via the website at </w:t>
      </w:r>
      <w:hyperlink r:id="rId10" w:history="1">
        <w:r w:rsidR="00EB2E75" w:rsidRPr="00EB2E75">
          <w:rPr>
            <w:rStyle w:val="Hyperlink"/>
          </w:rPr>
          <w:t>australiainstitute.org.au</w:t>
        </w:r>
      </w:hyperlink>
      <w:r w:rsidRPr="005010A3">
        <w:rPr>
          <w:rFonts w:cstheme="minorHAnsi"/>
        </w:rPr>
        <w:t xml:space="preserve"> or by calling the Institute on 02 6130 0530. Our secure and user-friendly website allows donors to make either one-off or regular monthly donations.</w:t>
      </w:r>
    </w:p>
    <w:p w14:paraId="25E136EA" w14:textId="77777777" w:rsidR="00481536" w:rsidRPr="005010A3" w:rsidRDefault="00481536">
      <w:pPr>
        <w:rPr>
          <w:rFonts w:cstheme="minorHAnsi"/>
        </w:rPr>
      </w:pPr>
    </w:p>
    <w:p w14:paraId="634DD229" w14:textId="7441A9E0" w:rsidR="00481536" w:rsidRPr="005010A3" w:rsidRDefault="00213A96">
      <w:pPr>
        <w:rPr>
          <w:rFonts w:cstheme="minorHAnsi"/>
        </w:rPr>
      </w:pPr>
      <w:r w:rsidRPr="005010A3">
        <w:rPr>
          <w:rFonts w:cstheme="minorHAnsi"/>
        </w:rPr>
        <w:t xml:space="preserve">Level 1, Endeavour House, 1 Franklin St </w:t>
      </w:r>
      <w:r w:rsidRPr="005010A3">
        <w:rPr>
          <w:rFonts w:cstheme="minorHAnsi"/>
        </w:rPr>
        <w:br/>
        <w:t>Canberra, ACT 2601</w:t>
      </w:r>
      <w:r w:rsidRPr="005010A3">
        <w:rPr>
          <w:rFonts w:cstheme="minorHAnsi"/>
        </w:rPr>
        <w:br/>
        <w:t xml:space="preserve">Tel: (02) 61300530 </w:t>
      </w:r>
      <w:r w:rsidRPr="005010A3">
        <w:rPr>
          <w:rFonts w:cstheme="minorHAnsi"/>
        </w:rPr>
        <w:br/>
        <w:t xml:space="preserve">Email: </w:t>
      </w:r>
      <w:hyperlink r:id="rId11" w:history="1">
        <w:r w:rsidR="00EB2E75" w:rsidRPr="00EB2E75">
          <w:rPr>
            <w:rStyle w:val="Hyperlink"/>
            <w:rFonts w:cstheme="minorHAnsi"/>
          </w:rPr>
          <w:t>mail@</w:t>
        </w:r>
        <w:r w:rsidR="00EB2E75" w:rsidRPr="00EB2E75">
          <w:rPr>
            <w:rStyle w:val="Hyperlink"/>
          </w:rPr>
          <w:t>australiainstitute.org.au</w:t>
        </w:r>
      </w:hyperlink>
      <w:r w:rsidRPr="005010A3">
        <w:rPr>
          <w:rFonts w:cstheme="minorHAnsi"/>
        </w:rPr>
        <w:br/>
        <w:t xml:space="preserve">Website: </w:t>
      </w:r>
      <w:hyperlink r:id="rId12" w:history="1">
        <w:r w:rsidR="00EB2E75" w:rsidRPr="00EB2E75">
          <w:rPr>
            <w:rStyle w:val="Hyperlink"/>
            <w:rFonts w:cstheme="minorHAnsi"/>
          </w:rPr>
          <w:t>http://www.australiainstitute.org.au</w:t>
        </w:r>
      </w:hyperlink>
      <w:r w:rsidRPr="005010A3">
        <w:rPr>
          <w:rFonts w:cstheme="minorHAnsi"/>
        </w:rPr>
        <w:br w:type="page"/>
      </w:r>
    </w:p>
    <w:p w14:paraId="5EB8D104" w14:textId="77777777" w:rsidR="003456B5" w:rsidRPr="00191ABF" w:rsidRDefault="009D460F" w:rsidP="00507B52">
      <w:pPr>
        <w:pStyle w:val="Heading2"/>
      </w:pPr>
      <w:bookmarkStart w:id="0" w:name="_Toc85720666"/>
      <w:bookmarkStart w:id="1" w:name="_Toc85726464"/>
      <w:r w:rsidRPr="00191ABF">
        <w:lastRenderedPageBreak/>
        <w:t>Table of Contents</w:t>
      </w:r>
      <w:bookmarkEnd w:id="0"/>
      <w:bookmarkEnd w:id="1"/>
    </w:p>
    <w:p w14:paraId="44A69F37" w14:textId="4A05D3E9" w:rsidR="00222915" w:rsidRDefault="00E9286A">
      <w:pPr>
        <w:pStyle w:val="TOC2"/>
        <w:rPr>
          <w:rFonts w:eastAsiaTheme="minorEastAsia"/>
          <w:noProof/>
          <w:sz w:val="22"/>
          <w:lang w:eastAsia="en-AU"/>
        </w:rPr>
      </w:pPr>
      <w:r w:rsidRPr="00191ABF">
        <w:rPr>
          <w:rFonts w:cstheme="minorHAnsi"/>
          <w:color w:val="0070C0"/>
          <w:lang w:val="en-US"/>
        </w:rPr>
        <w:fldChar w:fldCharType="begin"/>
      </w:r>
      <w:r w:rsidR="003456B5" w:rsidRPr="00191ABF">
        <w:rPr>
          <w:rFonts w:cstheme="minorHAnsi"/>
          <w:color w:val="0070C0"/>
          <w:lang w:val="en-US"/>
        </w:rPr>
        <w:instrText xml:space="preserve"> TOC \o "1-3" \h \z </w:instrText>
      </w:r>
      <w:r w:rsidRPr="00191ABF">
        <w:rPr>
          <w:rFonts w:cstheme="minorHAnsi"/>
          <w:color w:val="0070C0"/>
          <w:lang w:val="en-US"/>
        </w:rPr>
        <w:fldChar w:fldCharType="separate"/>
      </w:r>
    </w:p>
    <w:p w14:paraId="4736CE15" w14:textId="10F6DC22" w:rsidR="00222915" w:rsidRDefault="00222915">
      <w:pPr>
        <w:pStyle w:val="TOC2"/>
        <w:rPr>
          <w:rFonts w:eastAsiaTheme="minorEastAsia"/>
          <w:noProof/>
          <w:sz w:val="22"/>
          <w:lang w:eastAsia="en-AU"/>
        </w:rPr>
      </w:pPr>
      <w:hyperlink w:anchor="_Toc85726465" w:history="1">
        <w:r w:rsidRPr="000C2D4C">
          <w:rPr>
            <w:rStyle w:val="Hyperlink"/>
            <w:noProof/>
          </w:rPr>
          <w:t>Key points</w:t>
        </w:r>
        <w:r>
          <w:rPr>
            <w:noProof/>
            <w:webHidden/>
          </w:rPr>
          <w:tab/>
        </w:r>
        <w:r>
          <w:rPr>
            <w:noProof/>
            <w:webHidden/>
          </w:rPr>
          <w:fldChar w:fldCharType="begin"/>
        </w:r>
        <w:r>
          <w:rPr>
            <w:noProof/>
            <w:webHidden/>
          </w:rPr>
          <w:instrText xml:space="preserve"> PAGEREF _Toc85726465 \h </w:instrText>
        </w:r>
        <w:r>
          <w:rPr>
            <w:noProof/>
            <w:webHidden/>
          </w:rPr>
        </w:r>
        <w:r>
          <w:rPr>
            <w:noProof/>
            <w:webHidden/>
          </w:rPr>
          <w:fldChar w:fldCharType="separate"/>
        </w:r>
        <w:r w:rsidR="001D5366">
          <w:rPr>
            <w:noProof/>
            <w:webHidden/>
          </w:rPr>
          <w:t>4</w:t>
        </w:r>
        <w:r>
          <w:rPr>
            <w:noProof/>
            <w:webHidden/>
          </w:rPr>
          <w:fldChar w:fldCharType="end"/>
        </w:r>
      </w:hyperlink>
    </w:p>
    <w:p w14:paraId="1C8CD1F3" w14:textId="495ABBD5" w:rsidR="00222915" w:rsidRDefault="00222915">
      <w:pPr>
        <w:pStyle w:val="TOC2"/>
        <w:rPr>
          <w:rFonts w:eastAsiaTheme="minorEastAsia"/>
          <w:noProof/>
          <w:sz w:val="22"/>
          <w:lang w:eastAsia="en-AU"/>
        </w:rPr>
      </w:pPr>
      <w:hyperlink w:anchor="_Toc85726466" w:history="1">
        <w:r w:rsidRPr="000C2D4C">
          <w:rPr>
            <w:rStyle w:val="Hyperlink"/>
            <w:rFonts w:eastAsia="Calibri"/>
            <w:noProof/>
          </w:rPr>
          <w:t>Introduction</w:t>
        </w:r>
        <w:r>
          <w:rPr>
            <w:noProof/>
            <w:webHidden/>
          </w:rPr>
          <w:tab/>
        </w:r>
        <w:r>
          <w:rPr>
            <w:noProof/>
            <w:webHidden/>
          </w:rPr>
          <w:fldChar w:fldCharType="begin"/>
        </w:r>
        <w:r>
          <w:rPr>
            <w:noProof/>
            <w:webHidden/>
          </w:rPr>
          <w:instrText xml:space="preserve"> PAGEREF _Toc85726466 \h </w:instrText>
        </w:r>
        <w:r>
          <w:rPr>
            <w:noProof/>
            <w:webHidden/>
          </w:rPr>
        </w:r>
        <w:r>
          <w:rPr>
            <w:noProof/>
            <w:webHidden/>
          </w:rPr>
          <w:fldChar w:fldCharType="separate"/>
        </w:r>
        <w:r w:rsidR="001D5366">
          <w:rPr>
            <w:noProof/>
            <w:webHidden/>
          </w:rPr>
          <w:t>5</w:t>
        </w:r>
        <w:r>
          <w:rPr>
            <w:noProof/>
            <w:webHidden/>
          </w:rPr>
          <w:fldChar w:fldCharType="end"/>
        </w:r>
      </w:hyperlink>
    </w:p>
    <w:p w14:paraId="615F1458" w14:textId="36E0112A" w:rsidR="00222915" w:rsidRDefault="00222915">
      <w:pPr>
        <w:pStyle w:val="TOC2"/>
        <w:rPr>
          <w:rFonts w:eastAsiaTheme="minorEastAsia"/>
          <w:noProof/>
          <w:sz w:val="22"/>
          <w:lang w:eastAsia="en-AU"/>
        </w:rPr>
      </w:pPr>
      <w:hyperlink w:anchor="_Toc85726467" w:history="1">
        <w:r w:rsidRPr="000C2D4C">
          <w:rPr>
            <w:rStyle w:val="Hyperlink"/>
            <w:rFonts w:eastAsia="Calibri"/>
            <w:noProof/>
          </w:rPr>
          <w:t>Total Australian emissions, excluding land sector</w:t>
        </w:r>
        <w:r>
          <w:rPr>
            <w:noProof/>
            <w:webHidden/>
          </w:rPr>
          <w:tab/>
        </w:r>
        <w:r>
          <w:rPr>
            <w:noProof/>
            <w:webHidden/>
          </w:rPr>
          <w:fldChar w:fldCharType="begin"/>
        </w:r>
        <w:r>
          <w:rPr>
            <w:noProof/>
            <w:webHidden/>
          </w:rPr>
          <w:instrText xml:space="preserve"> PAGEREF _Toc85726467 \h </w:instrText>
        </w:r>
        <w:r>
          <w:rPr>
            <w:noProof/>
            <w:webHidden/>
          </w:rPr>
        </w:r>
        <w:r>
          <w:rPr>
            <w:noProof/>
            <w:webHidden/>
          </w:rPr>
          <w:fldChar w:fldCharType="separate"/>
        </w:r>
        <w:r w:rsidR="001D5366">
          <w:rPr>
            <w:noProof/>
            <w:webHidden/>
          </w:rPr>
          <w:t>6</w:t>
        </w:r>
        <w:r>
          <w:rPr>
            <w:noProof/>
            <w:webHidden/>
          </w:rPr>
          <w:fldChar w:fldCharType="end"/>
        </w:r>
      </w:hyperlink>
    </w:p>
    <w:p w14:paraId="179C4F3C" w14:textId="7B3C6C65" w:rsidR="00222915" w:rsidRDefault="00222915">
      <w:pPr>
        <w:pStyle w:val="TOC2"/>
        <w:rPr>
          <w:rFonts w:eastAsiaTheme="minorEastAsia"/>
          <w:noProof/>
          <w:sz w:val="22"/>
          <w:lang w:eastAsia="en-AU"/>
        </w:rPr>
      </w:pPr>
      <w:hyperlink w:anchor="_Toc85726468" w:history="1">
        <w:r w:rsidRPr="000C2D4C">
          <w:rPr>
            <w:rStyle w:val="Hyperlink"/>
            <w:rFonts w:eastAsia="Calibri"/>
            <w:noProof/>
          </w:rPr>
          <w:t>Update on energy consumption and emissions</w:t>
        </w:r>
        <w:r>
          <w:rPr>
            <w:noProof/>
            <w:webHidden/>
          </w:rPr>
          <w:tab/>
        </w:r>
        <w:r>
          <w:rPr>
            <w:noProof/>
            <w:webHidden/>
          </w:rPr>
          <w:fldChar w:fldCharType="begin"/>
        </w:r>
        <w:r>
          <w:rPr>
            <w:noProof/>
            <w:webHidden/>
          </w:rPr>
          <w:instrText xml:space="preserve"> PAGEREF _Toc85726468 \h </w:instrText>
        </w:r>
        <w:r>
          <w:rPr>
            <w:noProof/>
            <w:webHidden/>
          </w:rPr>
        </w:r>
        <w:r>
          <w:rPr>
            <w:noProof/>
            <w:webHidden/>
          </w:rPr>
          <w:fldChar w:fldCharType="separate"/>
        </w:r>
        <w:r w:rsidR="001D5366">
          <w:rPr>
            <w:noProof/>
            <w:webHidden/>
          </w:rPr>
          <w:t>7</w:t>
        </w:r>
        <w:r>
          <w:rPr>
            <w:noProof/>
            <w:webHidden/>
          </w:rPr>
          <w:fldChar w:fldCharType="end"/>
        </w:r>
      </w:hyperlink>
    </w:p>
    <w:p w14:paraId="62986D69" w14:textId="13FF2499" w:rsidR="00222915" w:rsidRDefault="00222915">
      <w:pPr>
        <w:pStyle w:val="TOC2"/>
        <w:rPr>
          <w:rFonts w:eastAsiaTheme="minorEastAsia"/>
          <w:noProof/>
          <w:sz w:val="22"/>
          <w:lang w:eastAsia="en-AU"/>
        </w:rPr>
      </w:pPr>
      <w:hyperlink w:anchor="_Toc85726469" w:history="1">
        <w:r w:rsidRPr="000C2D4C">
          <w:rPr>
            <w:rStyle w:val="Hyperlink"/>
            <w:rFonts w:eastAsia="Calibri"/>
            <w:noProof/>
          </w:rPr>
          <w:t>Electricity generation, consumption and emissions in the NEM</w:t>
        </w:r>
        <w:r>
          <w:rPr>
            <w:noProof/>
            <w:webHidden/>
          </w:rPr>
          <w:tab/>
        </w:r>
        <w:r>
          <w:rPr>
            <w:noProof/>
            <w:webHidden/>
          </w:rPr>
          <w:fldChar w:fldCharType="begin"/>
        </w:r>
        <w:r>
          <w:rPr>
            <w:noProof/>
            <w:webHidden/>
          </w:rPr>
          <w:instrText xml:space="preserve"> PAGEREF _Toc85726469 \h </w:instrText>
        </w:r>
        <w:r>
          <w:rPr>
            <w:noProof/>
            <w:webHidden/>
          </w:rPr>
        </w:r>
        <w:r>
          <w:rPr>
            <w:noProof/>
            <w:webHidden/>
          </w:rPr>
          <w:fldChar w:fldCharType="separate"/>
        </w:r>
        <w:r w:rsidR="001D5366">
          <w:rPr>
            <w:noProof/>
            <w:webHidden/>
          </w:rPr>
          <w:t>9</w:t>
        </w:r>
        <w:r>
          <w:rPr>
            <w:noProof/>
            <w:webHidden/>
          </w:rPr>
          <w:fldChar w:fldCharType="end"/>
        </w:r>
      </w:hyperlink>
    </w:p>
    <w:p w14:paraId="0CAA5354" w14:textId="305A54C4" w:rsidR="00222915" w:rsidRDefault="00222915">
      <w:pPr>
        <w:pStyle w:val="TOC2"/>
        <w:rPr>
          <w:rFonts w:eastAsiaTheme="minorEastAsia"/>
          <w:noProof/>
          <w:sz w:val="22"/>
          <w:lang w:eastAsia="en-AU"/>
        </w:rPr>
      </w:pPr>
      <w:hyperlink w:anchor="_Toc85726470" w:history="1">
        <w:r w:rsidRPr="000C2D4C">
          <w:rPr>
            <w:rStyle w:val="Hyperlink"/>
            <w:rFonts w:eastAsia="Calibri"/>
            <w:noProof/>
          </w:rPr>
          <w:t>Update on South Australia</w:t>
        </w:r>
        <w:r>
          <w:rPr>
            <w:noProof/>
            <w:webHidden/>
          </w:rPr>
          <w:tab/>
        </w:r>
        <w:r>
          <w:rPr>
            <w:noProof/>
            <w:webHidden/>
          </w:rPr>
          <w:fldChar w:fldCharType="begin"/>
        </w:r>
        <w:r>
          <w:rPr>
            <w:noProof/>
            <w:webHidden/>
          </w:rPr>
          <w:instrText xml:space="preserve"> PAGEREF _Toc85726470 \h </w:instrText>
        </w:r>
        <w:r>
          <w:rPr>
            <w:noProof/>
            <w:webHidden/>
          </w:rPr>
        </w:r>
        <w:r>
          <w:rPr>
            <w:noProof/>
            <w:webHidden/>
          </w:rPr>
          <w:fldChar w:fldCharType="separate"/>
        </w:r>
        <w:r w:rsidR="001D5366">
          <w:rPr>
            <w:noProof/>
            <w:webHidden/>
          </w:rPr>
          <w:t>10</w:t>
        </w:r>
        <w:r>
          <w:rPr>
            <w:noProof/>
            <w:webHidden/>
          </w:rPr>
          <w:fldChar w:fldCharType="end"/>
        </w:r>
      </w:hyperlink>
    </w:p>
    <w:p w14:paraId="7D4B6C7E" w14:textId="0E839AED" w:rsidR="00222915" w:rsidRDefault="00222915">
      <w:pPr>
        <w:pStyle w:val="TOC2"/>
        <w:rPr>
          <w:rFonts w:eastAsiaTheme="minorEastAsia"/>
          <w:noProof/>
          <w:sz w:val="22"/>
          <w:lang w:eastAsia="en-AU"/>
        </w:rPr>
      </w:pPr>
      <w:hyperlink w:anchor="_Toc85726471" w:history="1">
        <w:r w:rsidRPr="000C2D4C">
          <w:rPr>
            <w:rStyle w:val="Hyperlink"/>
            <w:rFonts w:cstheme="minorHAnsi"/>
            <w:noProof/>
            <w:lang w:val="en-US"/>
          </w:rPr>
          <w:t>Appendix</w:t>
        </w:r>
        <w:r w:rsidRPr="000C2D4C">
          <w:rPr>
            <w:rStyle w:val="Hyperlink"/>
            <w:rFonts w:eastAsia="Calibri" w:cstheme="minorHAnsi"/>
            <w:noProof/>
          </w:rPr>
          <w:t>: Notes on methodology</w:t>
        </w:r>
        <w:r>
          <w:rPr>
            <w:noProof/>
            <w:webHidden/>
          </w:rPr>
          <w:tab/>
        </w:r>
        <w:r>
          <w:rPr>
            <w:noProof/>
            <w:webHidden/>
          </w:rPr>
          <w:fldChar w:fldCharType="begin"/>
        </w:r>
        <w:r>
          <w:rPr>
            <w:noProof/>
            <w:webHidden/>
          </w:rPr>
          <w:instrText xml:space="preserve"> PAGEREF _Toc85726471 \h </w:instrText>
        </w:r>
        <w:r>
          <w:rPr>
            <w:noProof/>
            <w:webHidden/>
          </w:rPr>
        </w:r>
        <w:r>
          <w:rPr>
            <w:noProof/>
            <w:webHidden/>
          </w:rPr>
          <w:fldChar w:fldCharType="separate"/>
        </w:r>
        <w:r w:rsidR="001D5366">
          <w:rPr>
            <w:noProof/>
            <w:webHidden/>
          </w:rPr>
          <w:t>15</w:t>
        </w:r>
        <w:r>
          <w:rPr>
            <w:noProof/>
            <w:webHidden/>
          </w:rPr>
          <w:fldChar w:fldCharType="end"/>
        </w:r>
      </w:hyperlink>
    </w:p>
    <w:p w14:paraId="6744BA99" w14:textId="518E19B4" w:rsidR="00584FCA" w:rsidRPr="00191ABF" w:rsidRDefault="00E9286A" w:rsidP="00507B52">
      <w:pPr>
        <w:pStyle w:val="Heading2"/>
      </w:pPr>
      <w:r w:rsidRPr="00191ABF">
        <w:rPr>
          <w:rFonts w:asciiTheme="minorHAnsi" w:hAnsiTheme="minorHAnsi" w:cstheme="minorHAnsi"/>
          <w:lang w:val="en-US"/>
        </w:rPr>
        <w:fldChar w:fldCharType="end"/>
      </w:r>
      <w:r w:rsidR="00D16978" w:rsidRPr="00191ABF">
        <w:rPr>
          <w:lang w:val="en-US"/>
        </w:rPr>
        <w:br w:type="column"/>
      </w:r>
      <w:bookmarkStart w:id="2" w:name="_Toc85726465"/>
      <w:r w:rsidR="00584FCA" w:rsidRPr="00191ABF">
        <w:lastRenderedPageBreak/>
        <w:t>Key points</w:t>
      </w:r>
      <w:bookmarkEnd w:id="2"/>
    </w:p>
    <w:p w14:paraId="445EF33A" w14:textId="193EEFE0" w:rsidR="007673D4" w:rsidRPr="00EB2E75" w:rsidRDefault="00C473B7" w:rsidP="00EB2E75">
      <w:pPr>
        <w:pStyle w:val="ListParagraph"/>
        <w:numPr>
          <w:ilvl w:val="0"/>
          <w:numId w:val="5"/>
        </w:numPr>
        <w:spacing w:before="240"/>
        <w:rPr>
          <w:lang w:val="en-US"/>
        </w:rPr>
      </w:pPr>
      <w:r>
        <w:rPr>
          <w:lang w:val="en-US"/>
        </w:rPr>
        <w:t>A</w:t>
      </w:r>
      <w:r w:rsidRPr="00C473B7">
        <w:rPr>
          <w:lang w:val="en-US"/>
        </w:rPr>
        <w:t>ll the net reduction in national emissions between 2005 and 2020 were contributed by the land sector. Emissions from energy combustion, which in 2020 accounted for 72% of total emissions, were 2.0% higher than in 2005</w:t>
      </w:r>
      <w:r>
        <w:rPr>
          <w:lang w:val="en-US"/>
        </w:rPr>
        <w:t>.</w:t>
      </w:r>
      <w:r>
        <w:rPr>
          <w:lang w:val="en-US"/>
        </w:rPr>
        <w:br/>
      </w:r>
    </w:p>
    <w:p w14:paraId="6AE26121" w14:textId="25F93463" w:rsidR="00F64F8D" w:rsidRDefault="002805F2" w:rsidP="00854BD5">
      <w:pPr>
        <w:pStyle w:val="ListParagraph"/>
        <w:numPr>
          <w:ilvl w:val="0"/>
          <w:numId w:val="5"/>
        </w:numPr>
        <w:spacing w:before="240"/>
        <w:rPr>
          <w:lang w:val="en-US"/>
        </w:rPr>
      </w:pPr>
      <w:r>
        <w:rPr>
          <w:lang w:val="en-US"/>
        </w:rPr>
        <w:t xml:space="preserve">Total </w:t>
      </w:r>
      <w:r w:rsidR="00A772BB">
        <w:rPr>
          <w:lang w:val="en-US"/>
        </w:rPr>
        <w:t xml:space="preserve">energy </w:t>
      </w:r>
      <w:r>
        <w:rPr>
          <w:lang w:val="en-US"/>
        </w:rPr>
        <w:t>emissions</w:t>
      </w:r>
      <w:r w:rsidR="00F61EB4">
        <w:rPr>
          <w:lang w:val="en-US"/>
        </w:rPr>
        <w:t xml:space="preserve"> to the end of August 2021</w:t>
      </w:r>
      <w:r>
        <w:rPr>
          <w:lang w:val="en-US"/>
        </w:rPr>
        <w:t xml:space="preserve">, as estimated </w:t>
      </w:r>
      <w:r w:rsidR="00F61EB4">
        <w:rPr>
          <w:lang w:val="en-US"/>
        </w:rPr>
        <w:t>by NEEA, again increased, as growing consumption of petroleum fuels more than offset continued steady reduction in electricity generation emissions.</w:t>
      </w:r>
      <w:r w:rsidR="00EB2E75">
        <w:rPr>
          <w:lang w:val="en-US"/>
        </w:rPr>
        <w:br/>
      </w:r>
    </w:p>
    <w:p w14:paraId="68445C12" w14:textId="3FA31D20" w:rsidR="00F61EB4" w:rsidRPr="00EB2E75" w:rsidRDefault="00F61EB4" w:rsidP="00854BD5">
      <w:pPr>
        <w:pStyle w:val="ListParagraph"/>
        <w:numPr>
          <w:ilvl w:val="0"/>
          <w:numId w:val="5"/>
        </w:numPr>
        <w:spacing w:before="240"/>
        <w:rPr>
          <w:lang w:val="en-US"/>
        </w:rPr>
      </w:pPr>
      <w:r>
        <w:t>The lockdowns in New South Wales and Victoria are</w:t>
      </w:r>
      <w:r w:rsidR="009773BF">
        <w:t xml:space="preserve"> the</w:t>
      </w:r>
      <w:r>
        <w:t xml:space="preserve"> likely cause</w:t>
      </w:r>
      <w:r w:rsidR="009773BF">
        <w:t xml:space="preserve"> of</w:t>
      </w:r>
      <w:r>
        <w:t xml:space="preserve"> small temporary reductions in total emissions, because of reduced urban road transport activity</w:t>
      </w:r>
      <w:r w:rsidR="009773BF">
        <w:t>. This</w:t>
      </w:r>
      <w:r>
        <w:t xml:space="preserve"> is certain to again reverse by the end of the year</w:t>
      </w:r>
      <w:r w:rsidR="009773BF">
        <w:t xml:space="preserve"> </w:t>
      </w:r>
      <w:r>
        <w:t>as the lockdowns are lifted.</w:t>
      </w:r>
      <w:r w:rsidR="001D5366">
        <w:t xml:space="preserve"> </w:t>
      </w:r>
      <w:r>
        <w:t>There remains no indication that a prolonged reduction in petroleum emissions will emerge, in the absence of significant transport policy changes.</w:t>
      </w:r>
    </w:p>
    <w:p w14:paraId="303731E5" w14:textId="77777777" w:rsidR="00EB2E75" w:rsidRPr="00F61EB4" w:rsidRDefault="00EB2E75" w:rsidP="00EB2E75">
      <w:pPr>
        <w:pStyle w:val="ListParagraph"/>
        <w:spacing w:before="240"/>
        <w:ind w:left="644"/>
        <w:rPr>
          <w:lang w:val="en-US"/>
        </w:rPr>
      </w:pPr>
    </w:p>
    <w:p w14:paraId="23DBCAAD" w14:textId="1055CCEF" w:rsidR="00EB2E75" w:rsidRPr="00EB2E75" w:rsidRDefault="00026310" w:rsidP="00EB2E75">
      <w:pPr>
        <w:pStyle w:val="ListParagraph"/>
        <w:numPr>
          <w:ilvl w:val="0"/>
          <w:numId w:val="5"/>
        </w:numPr>
        <w:spacing w:before="240"/>
        <w:rPr>
          <w:lang w:val="en-US"/>
        </w:rPr>
      </w:pPr>
      <w:r>
        <w:rPr>
          <w:lang w:val="en-US"/>
        </w:rPr>
        <w:t>Moving annual generation in the NEM to the end of September 2021 recorded further falls in both coal and gas generation, in both absolute terms and as a share of total generation</w:t>
      </w:r>
      <w:r w:rsidR="006F304F">
        <w:rPr>
          <w:lang w:val="en-US"/>
        </w:rPr>
        <w:t>; gas generation fell to its lowest levels since mid</w:t>
      </w:r>
      <w:r w:rsidR="008B1DEF">
        <w:rPr>
          <w:lang w:val="en-US"/>
        </w:rPr>
        <w:t>-</w:t>
      </w:r>
      <w:r w:rsidR="006F304F">
        <w:rPr>
          <w:lang w:val="en-US"/>
        </w:rPr>
        <w:t>2006.</w:t>
      </w:r>
      <w:r w:rsidR="00EB2E75">
        <w:rPr>
          <w:lang w:val="en-US"/>
        </w:rPr>
        <w:br/>
      </w:r>
    </w:p>
    <w:p w14:paraId="39527586" w14:textId="0C27B7FA" w:rsidR="006D0C58" w:rsidRDefault="006F304F" w:rsidP="00854BD5">
      <w:pPr>
        <w:pStyle w:val="ListParagraph"/>
        <w:numPr>
          <w:ilvl w:val="0"/>
          <w:numId w:val="5"/>
        </w:numPr>
        <w:spacing w:before="240"/>
        <w:rPr>
          <w:lang w:val="en-US"/>
        </w:rPr>
      </w:pPr>
      <w:r>
        <w:rPr>
          <w:lang w:val="en-US"/>
        </w:rPr>
        <w:t>Total annual renewable generation, including rooftop solar, passed the 30% share mark in July and is continuing to grow strongly.</w:t>
      </w:r>
      <w:r w:rsidR="001D5366">
        <w:rPr>
          <w:lang w:val="en-US"/>
        </w:rPr>
        <w:t xml:space="preserve"> </w:t>
      </w:r>
      <w:r>
        <w:rPr>
          <w:lang w:val="en-US"/>
        </w:rPr>
        <w:t>The coal share fell to below 63%.</w:t>
      </w:r>
      <w:r w:rsidR="006D0C58">
        <w:rPr>
          <w:lang w:val="en-US"/>
        </w:rPr>
        <w:br/>
      </w:r>
    </w:p>
    <w:p w14:paraId="717FA7C1" w14:textId="040158E0" w:rsidR="006D0C58" w:rsidRDefault="006D0C58" w:rsidP="006D0C58">
      <w:pPr>
        <w:pStyle w:val="ListParagraph"/>
        <w:numPr>
          <w:ilvl w:val="0"/>
          <w:numId w:val="5"/>
        </w:numPr>
        <w:spacing w:before="240"/>
        <w:rPr>
          <w:lang w:val="en-US"/>
        </w:rPr>
      </w:pPr>
      <w:r>
        <w:rPr>
          <w:lang w:val="en-US"/>
        </w:rPr>
        <w:t xml:space="preserve">In South Australia, the share of wind and solar in total generation has also passed 63%, with gas down to 37%. </w:t>
      </w:r>
    </w:p>
    <w:p w14:paraId="7A8A3E6E" w14:textId="30048AED" w:rsidR="006F304F" w:rsidRDefault="00281B31" w:rsidP="006D0C58">
      <w:pPr>
        <w:pStyle w:val="ListParagraph"/>
        <w:spacing w:before="240"/>
        <w:ind w:left="644"/>
        <w:rPr>
          <w:lang w:val="en-US"/>
        </w:rPr>
      </w:pPr>
      <w:r>
        <w:rPr>
          <w:lang w:val="en-US"/>
        </w:rPr>
        <w:br/>
      </w:r>
    </w:p>
    <w:p w14:paraId="5D5BF47F" w14:textId="78B24A89" w:rsidR="00D16978" w:rsidRPr="00507B52" w:rsidRDefault="00D60C25" w:rsidP="00507B52">
      <w:pPr>
        <w:pStyle w:val="Heading2"/>
        <w:rPr>
          <w:lang w:val="en-US"/>
        </w:rPr>
      </w:pPr>
      <w:r w:rsidRPr="00507B52">
        <w:rPr>
          <w:lang w:val="en-US"/>
        </w:rPr>
        <w:br w:type="column"/>
      </w:r>
      <w:bookmarkStart w:id="3" w:name="_Toc85726466"/>
      <w:r w:rsidR="00D16978" w:rsidRPr="00507B52">
        <w:rPr>
          <w:rFonts w:eastAsia="Calibri"/>
        </w:rPr>
        <w:lastRenderedPageBreak/>
        <w:t>Introduction</w:t>
      </w:r>
      <w:bookmarkEnd w:id="3"/>
    </w:p>
    <w:p w14:paraId="1A5A67AE" w14:textId="438705DD" w:rsidR="00366C1F" w:rsidRDefault="00D16978" w:rsidP="001831F0">
      <w:pPr>
        <w:rPr>
          <w:lang w:val="en-US"/>
        </w:rPr>
      </w:pPr>
      <w:r w:rsidRPr="0034210E">
        <w:rPr>
          <w:lang w:val="en-US"/>
        </w:rPr>
        <w:t xml:space="preserve">Welcome to the </w:t>
      </w:r>
      <w:r w:rsidR="004343DC">
        <w:rPr>
          <w:lang w:val="en-US"/>
        </w:rPr>
        <w:t>October</w:t>
      </w:r>
      <w:r w:rsidR="00191ABF">
        <w:rPr>
          <w:lang w:val="en-US"/>
        </w:rPr>
        <w:t xml:space="preserve"> </w:t>
      </w:r>
      <w:r w:rsidR="00BF19ED">
        <w:rPr>
          <w:lang w:val="en-US"/>
        </w:rPr>
        <w:t>2021</w:t>
      </w:r>
      <w:r w:rsidRPr="0034210E">
        <w:rPr>
          <w:lang w:val="en-US"/>
        </w:rPr>
        <w:t xml:space="preserve"> issue of the NEEA </w:t>
      </w:r>
      <w:r w:rsidR="001831F0" w:rsidRPr="0034210E">
        <w:rPr>
          <w:lang w:val="en-US"/>
        </w:rPr>
        <w:t>Report</w:t>
      </w:r>
      <w:r w:rsidR="00E63D9E">
        <w:rPr>
          <w:lang w:val="en-US"/>
        </w:rPr>
        <w:t>.</w:t>
      </w:r>
      <w:r w:rsidR="00992C12">
        <w:rPr>
          <w:lang w:val="en-US"/>
        </w:rPr>
        <w:t xml:space="preserve"> </w:t>
      </w:r>
      <w:r w:rsidR="009B6B23">
        <w:rPr>
          <w:lang w:val="en-US"/>
        </w:rPr>
        <w:t xml:space="preserve">This </w:t>
      </w:r>
      <w:r w:rsidR="004343DC">
        <w:rPr>
          <w:lang w:val="en-US"/>
        </w:rPr>
        <w:t>issue starts with an overview of trends in Australia’s greenhouse gas emissions since 2005, excluding emissions relating to the land</w:t>
      </w:r>
      <w:r w:rsidR="00245C74">
        <w:rPr>
          <w:lang w:val="en-US"/>
        </w:rPr>
        <w:t xml:space="preserve"> sector</w:t>
      </w:r>
      <w:r w:rsidR="004343DC">
        <w:rPr>
          <w:lang w:val="en-US"/>
        </w:rPr>
        <w:t>.</w:t>
      </w:r>
      <w:r w:rsidR="001D5366">
        <w:rPr>
          <w:lang w:val="en-US"/>
        </w:rPr>
        <w:t xml:space="preserve"> </w:t>
      </w:r>
      <w:r w:rsidR="004343DC">
        <w:rPr>
          <w:lang w:val="en-US"/>
        </w:rPr>
        <w:t>This is followed by the regular update of energy combustion emissions as estimated by NEEA.</w:t>
      </w:r>
      <w:r w:rsidR="001D5366">
        <w:rPr>
          <w:lang w:val="en-US"/>
        </w:rPr>
        <w:t xml:space="preserve"> </w:t>
      </w:r>
    </w:p>
    <w:p w14:paraId="7181D59B" w14:textId="0B35F585" w:rsidR="00500375" w:rsidRPr="0034210E" w:rsidRDefault="00500375" w:rsidP="008A388D">
      <w:pPr>
        <w:rPr>
          <w:lang w:val="en-US"/>
        </w:rPr>
      </w:pPr>
    </w:p>
    <w:p w14:paraId="31423683" w14:textId="758DB371" w:rsidR="004343DC" w:rsidRPr="009C7B4F" w:rsidRDefault="000955DC" w:rsidP="00507B52">
      <w:pPr>
        <w:pStyle w:val="Heading2"/>
        <w:rPr>
          <w:rFonts w:eastAsia="Calibri"/>
        </w:rPr>
      </w:pPr>
      <w:r>
        <w:rPr>
          <w:rFonts w:cstheme="minorHAnsi"/>
          <w:sz w:val="22"/>
        </w:rPr>
        <w:br w:type="column"/>
      </w:r>
      <w:bookmarkStart w:id="4" w:name="_Toc71151485"/>
      <w:bookmarkStart w:id="5" w:name="_Toc85726467"/>
      <w:r w:rsidR="004343DC" w:rsidRPr="009C7B4F">
        <w:rPr>
          <w:rFonts w:eastAsia="Calibri"/>
        </w:rPr>
        <w:lastRenderedPageBreak/>
        <w:t>Total Australian emissions, excluding land sector</w:t>
      </w:r>
      <w:bookmarkEnd w:id="5"/>
      <w:r w:rsidR="00507B52">
        <w:rPr>
          <w:rFonts w:eastAsia="Calibri"/>
        </w:rPr>
        <w:t xml:space="preserve"> </w:t>
      </w:r>
    </w:p>
    <w:p w14:paraId="202BEC77" w14:textId="77777777" w:rsidR="004343DC" w:rsidRPr="004343DC" w:rsidRDefault="004343DC">
      <w:pPr>
        <w:spacing w:after="0" w:line="240" w:lineRule="auto"/>
        <w:rPr>
          <w:lang w:val="en-US"/>
        </w:rPr>
      </w:pPr>
    </w:p>
    <w:p w14:paraId="20027090" w14:textId="18A4F877" w:rsidR="009773BF" w:rsidRDefault="009C7B4F">
      <w:pPr>
        <w:spacing w:after="0" w:line="240" w:lineRule="auto"/>
        <w:rPr>
          <w:lang w:val="en-US"/>
        </w:rPr>
      </w:pPr>
      <w:bookmarkStart w:id="6" w:name="_Hlk85727581"/>
      <w:r>
        <w:rPr>
          <w:lang w:val="en-US"/>
        </w:rPr>
        <w:t xml:space="preserve">In seeking to defend its position on greenhouse gas emissions, the </w:t>
      </w:r>
      <w:r w:rsidR="001D5366">
        <w:rPr>
          <w:lang w:val="en-US"/>
        </w:rPr>
        <w:t>Australian G</w:t>
      </w:r>
      <w:r>
        <w:rPr>
          <w:lang w:val="en-US"/>
        </w:rPr>
        <w:t>overnment consistently cites the reduction in Australia’s emissions since 2005. The significance of 2005 is that it is the base or reference year for Australia’s Paris Agreement undertaking.</w:t>
      </w:r>
      <w:r w:rsidR="001D5366">
        <w:rPr>
          <w:lang w:val="en-US"/>
        </w:rPr>
        <w:t xml:space="preserve"> </w:t>
      </w:r>
      <w:r w:rsidR="0004370E">
        <w:rPr>
          <w:lang w:val="en-US"/>
        </w:rPr>
        <w:t>The government states, accurately, that estimated tota</w:t>
      </w:r>
      <w:r w:rsidR="009773BF">
        <w:rPr>
          <w:lang w:val="en-US"/>
        </w:rPr>
        <w:t>l</w:t>
      </w:r>
      <w:r w:rsidR="0004370E">
        <w:rPr>
          <w:lang w:val="en-US"/>
        </w:rPr>
        <w:t xml:space="preserve"> emissions in 2019-20 were 20% below emissions in 2004-05.</w:t>
      </w:r>
      <w:r w:rsidR="001D5366">
        <w:rPr>
          <w:lang w:val="en-US"/>
        </w:rPr>
        <w:t xml:space="preserve"> </w:t>
      </w:r>
      <w:bookmarkStart w:id="7" w:name="_Hlk85727496"/>
      <w:r w:rsidR="0004370E">
        <w:rPr>
          <w:lang w:val="en-US"/>
        </w:rPr>
        <w:t xml:space="preserve">However, as </w:t>
      </w:r>
      <w:r w:rsidR="00F64F8D">
        <w:rPr>
          <w:lang w:val="en-US"/>
        </w:rPr>
        <w:t>F</w:t>
      </w:r>
      <w:r w:rsidR="0004370E">
        <w:rPr>
          <w:lang w:val="en-US"/>
        </w:rPr>
        <w:t>igure 1 shows, if land sector emissions are excluded, emissions from all other sources in 2020 were actually 0.3% higher than in 2005.</w:t>
      </w:r>
      <w:r w:rsidR="001D5366">
        <w:rPr>
          <w:lang w:val="en-US"/>
        </w:rPr>
        <w:t xml:space="preserve"> </w:t>
      </w:r>
    </w:p>
    <w:p w14:paraId="0BDCB0E5" w14:textId="77777777" w:rsidR="009773BF" w:rsidRDefault="009773BF">
      <w:pPr>
        <w:spacing w:after="0" w:line="240" w:lineRule="auto"/>
        <w:rPr>
          <w:lang w:val="en-US"/>
        </w:rPr>
      </w:pPr>
    </w:p>
    <w:p w14:paraId="4207DB57" w14:textId="17332440" w:rsidR="004343DC" w:rsidRPr="004343DC" w:rsidRDefault="0004370E">
      <w:pPr>
        <w:spacing w:after="0" w:line="240" w:lineRule="auto"/>
        <w:rPr>
          <w:lang w:val="en-US"/>
        </w:rPr>
      </w:pPr>
      <w:r>
        <w:rPr>
          <w:lang w:val="en-US"/>
        </w:rPr>
        <w:t>I</w:t>
      </w:r>
      <w:r w:rsidR="00F64F8D">
        <w:rPr>
          <w:lang w:val="en-US"/>
        </w:rPr>
        <w:t>n</w:t>
      </w:r>
      <w:r>
        <w:rPr>
          <w:lang w:val="en-US"/>
        </w:rPr>
        <w:t xml:space="preserve"> other words, all the net reduction in national emissions between 2005 and 2020 were contributed by the land sector.</w:t>
      </w:r>
      <w:r w:rsidR="001D5366">
        <w:rPr>
          <w:lang w:val="en-US"/>
        </w:rPr>
        <w:t xml:space="preserve"> </w:t>
      </w:r>
      <w:r>
        <w:rPr>
          <w:lang w:val="en-US"/>
        </w:rPr>
        <w:t xml:space="preserve">Emissions from energy combustion, which in 2020 accounted for 72% of total emissions, were 2.0% higher than in 2005, as shown in Figure 2. </w:t>
      </w:r>
    </w:p>
    <w:bookmarkEnd w:id="7"/>
    <w:p w14:paraId="52D26AF3" w14:textId="77777777" w:rsidR="004343DC" w:rsidRPr="004343DC" w:rsidRDefault="004343DC">
      <w:pPr>
        <w:spacing w:after="0" w:line="240" w:lineRule="auto"/>
        <w:rPr>
          <w:lang w:val="en-US"/>
        </w:rPr>
      </w:pPr>
    </w:p>
    <w:p w14:paraId="6BBE9AED" w14:textId="77777777" w:rsidR="004343DC" w:rsidRPr="00854BD5" w:rsidRDefault="004343DC" w:rsidP="004343DC">
      <w:pPr>
        <w:pStyle w:val="Caption"/>
      </w:pPr>
      <w:r w:rsidRPr="005010A3">
        <w:t xml:space="preserve">Figure </w:t>
      </w:r>
      <w:r>
        <w:t>1</w:t>
      </w:r>
    </w:p>
    <w:p w14:paraId="443DDF46" w14:textId="68B20371" w:rsidR="004343DC" w:rsidRDefault="009C7B4F" w:rsidP="004343DC">
      <w:pPr>
        <w:spacing w:after="0" w:line="240" w:lineRule="auto"/>
        <w:jc w:val="center"/>
        <w:rPr>
          <w:lang w:val="en-US"/>
        </w:rPr>
      </w:pPr>
      <w:r w:rsidRPr="009C7B4F">
        <w:rPr>
          <w:noProof/>
        </w:rPr>
        <w:drawing>
          <wp:inline distT="0" distB="0" distL="0" distR="0" wp14:anchorId="45BE1FFE" wp14:editId="02EB3C4E">
            <wp:extent cx="4581525" cy="3019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1525" cy="3019425"/>
                    </a:xfrm>
                    <a:prstGeom prst="rect">
                      <a:avLst/>
                    </a:prstGeom>
                    <a:noFill/>
                    <a:ln>
                      <a:noFill/>
                    </a:ln>
                  </pic:spPr>
                </pic:pic>
              </a:graphicData>
            </a:graphic>
          </wp:inline>
        </w:drawing>
      </w:r>
    </w:p>
    <w:p w14:paraId="103AF061" w14:textId="7CE258F7" w:rsidR="009C7B4F" w:rsidRDefault="009C7B4F" w:rsidP="004343DC">
      <w:pPr>
        <w:spacing w:after="0" w:line="240" w:lineRule="auto"/>
        <w:jc w:val="center"/>
        <w:rPr>
          <w:lang w:val="en-US"/>
        </w:rPr>
      </w:pPr>
    </w:p>
    <w:p w14:paraId="127BEE99" w14:textId="5585957D" w:rsidR="002964C4" w:rsidRDefault="002964C4" w:rsidP="002964C4">
      <w:pPr>
        <w:spacing w:after="0" w:line="240" w:lineRule="auto"/>
        <w:rPr>
          <w:lang w:val="en-US"/>
        </w:rPr>
      </w:pPr>
      <w:r>
        <w:rPr>
          <w:lang w:val="en-US"/>
        </w:rPr>
        <w:t>Figure 2 also shows that, year</w:t>
      </w:r>
      <w:r w:rsidR="00507B52">
        <w:rPr>
          <w:lang w:val="en-US"/>
        </w:rPr>
        <w:t>-</w:t>
      </w:r>
      <w:r>
        <w:rPr>
          <w:lang w:val="en-US"/>
        </w:rPr>
        <w:t>on</w:t>
      </w:r>
      <w:r w:rsidR="00507B52">
        <w:rPr>
          <w:lang w:val="en-US"/>
        </w:rPr>
        <w:t>-</w:t>
      </w:r>
      <w:r>
        <w:rPr>
          <w:lang w:val="en-US"/>
        </w:rPr>
        <w:t>year, energy combustion emissions have only decreased on three occasions since 2005:</w:t>
      </w:r>
    </w:p>
    <w:p w14:paraId="0A32E4C8" w14:textId="65A91700" w:rsidR="002964C4" w:rsidRDefault="002964C4" w:rsidP="002964C4">
      <w:pPr>
        <w:pStyle w:val="ListParagraph"/>
        <w:numPr>
          <w:ilvl w:val="0"/>
          <w:numId w:val="20"/>
        </w:numPr>
        <w:spacing w:after="0" w:line="240" w:lineRule="auto"/>
        <w:rPr>
          <w:lang w:val="en-US"/>
        </w:rPr>
      </w:pPr>
      <w:r>
        <w:rPr>
          <w:lang w:val="en-US"/>
        </w:rPr>
        <w:t>In 2010 they fell for one year because of the impact of the global financial crisis.</w:t>
      </w:r>
    </w:p>
    <w:p w14:paraId="01069091" w14:textId="3A2BB6E5" w:rsidR="002964C4" w:rsidRDefault="002964C4" w:rsidP="002964C4">
      <w:pPr>
        <w:pStyle w:val="ListParagraph"/>
        <w:numPr>
          <w:ilvl w:val="0"/>
          <w:numId w:val="20"/>
        </w:numPr>
        <w:spacing w:after="0" w:line="240" w:lineRule="auto"/>
        <w:rPr>
          <w:lang w:val="en-US"/>
        </w:rPr>
      </w:pPr>
      <w:r>
        <w:rPr>
          <w:lang w:val="en-US"/>
        </w:rPr>
        <w:t>In 2013 and 2014 they fell because of the carbon price imposed on emissions from combustion of coal and gas.</w:t>
      </w:r>
    </w:p>
    <w:p w14:paraId="6AC89979" w14:textId="5CC1CE29" w:rsidR="002964C4" w:rsidRDefault="002964C4" w:rsidP="002964C4">
      <w:pPr>
        <w:pStyle w:val="ListParagraph"/>
        <w:numPr>
          <w:ilvl w:val="0"/>
          <w:numId w:val="20"/>
        </w:numPr>
        <w:spacing w:after="0" w:line="240" w:lineRule="auto"/>
        <w:rPr>
          <w:lang w:val="en-US"/>
        </w:rPr>
      </w:pPr>
      <w:r>
        <w:rPr>
          <w:lang w:val="en-US"/>
        </w:rPr>
        <w:t>In 2020 they fell because of the severe impact on aviation and road transport during the first four months of pandemic lockdown.</w:t>
      </w:r>
    </w:p>
    <w:p w14:paraId="120ED0D7" w14:textId="51938693" w:rsidR="00CA3F80" w:rsidRDefault="00CA3F80" w:rsidP="00CA3F80">
      <w:pPr>
        <w:spacing w:after="0" w:line="240" w:lineRule="auto"/>
        <w:rPr>
          <w:lang w:val="en-US"/>
        </w:rPr>
      </w:pPr>
    </w:p>
    <w:p w14:paraId="239E84D4" w14:textId="2218F29D" w:rsidR="00CA3F80" w:rsidRPr="00CA3F80" w:rsidRDefault="00CA3F80" w:rsidP="00CA3F80">
      <w:pPr>
        <w:spacing w:after="0" w:line="240" w:lineRule="auto"/>
        <w:rPr>
          <w:lang w:val="en-US"/>
        </w:rPr>
      </w:pPr>
      <w:r>
        <w:rPr>
          <w:lang w:val="en-US"/>
        </w:rPr>
        <w:t>This is of course an appalling performance record to be taking to the COP26 Conference in Glasgow.</w:t>
      </w:r>
    </w:p>
    <w:p w14:paraId="5BF5D49C" w14:textId="3A04A45E" w:rsidR="009C7B4F" w:rsidRPr="00854BD5" w:rsidRDefault="009C7B4F" w:rsidP="009C7B4F">
      <w:pPr>
        <w:pStyle w:val="Caption"/>
      </w:pPr>
      <w:r w:rsidRPr="005010A3">
        <w:lastRenderedPageBreak/>
        <w:t xml:space="preserve">Figure </w:t>
      </w:r>
      <w:r>
        <w:t>2</w:t>
      </w:r>
    </w:p>
    <w:p w14:paraId="502ACE86" w14:textId="70117492" w:rsidR="009C7B4F" w:rsidRDefault="009C7B4F" w:rsidP="009C7B4F">
      <w:pPr>
        <w:spacing w:after="0" w:line="240" w:lineRule="auto"/>
        <w:jc w:val="center"/>
        <w:rPr>
          <w:lang w:val="en-US"/>
        </w:rPr>
      </w:pPr>
      <w:r w:rsidRPr="009C7B4F">
        <w:rPr>
          <w:noProof/>
        </w:rPr>
        <w:drawing>
          <wp:inline distT="0" distB="0" distL="0" distR="0" wp14:anchorId="563CD450" wp14:editId="77256144">
            <wp:extent cx="4581525" cy="3019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1525" cy="3019425"/>
                    </a:xfrm>
                    <a:prstGeom prst="rect">
                      <a:avLst/>
                    </a:prstGeom>
                    <a:noFill/>
                    <a:ln>
                      <a:noFill/>
                    </a:ln>
                  </pic:spPr>
                </pic:pic>
              </a:graphicData>
            </a:graphic>
          </wp:inline>
        </w:drawing>
      </w:r>
    </w:p>
    <w:bookmarkEnd w:id="6"/>
    <w:p w14:paraId="3C47E059" w14:textId="77777777" w:rsidR="009C7B4F" w:rsidRPr="004343DC" w:rsidRDefault="009C7B4F">
      <w:pPr>
        <w:spacing w:after="0" w:line="240" w:lineRule="auto"/>
        <w:rPr>
          <w:lang w:val="en-US"/>
        </w:rPr>
      </w:pPr>
    </w:p>
    <w:p w14:paraId="4A31B148" w14:textId="57BD3710" w:rsidR="00467D4D" w:rsidRPr="00507B52" w:rsidRDefault="00CA3F80" w:rsidP="00507B52">
      <w:pPr>
        <w:pStyle w:val="Heading2"/>
        <w:rPr>
          <w:rFonts w:eastAsia="Calibri"/>
        </w:rPr>
      </w:pPr>
      <w:bookmarkStart w:id="8" w:name="_Toc85726468"/>
      <w:r w:rsidRPr="00507B52">
        <w:rPr>
          <w:rFonts w:eastAsia="Calibri"/>
        </w:rPr>
        <w:t>Update on e</w:t>
      </w:r>
      <w:r w:rsidR="00420782" w:rsidRPr="00507B52">
        <w:rPr>
          <w:rFonts w:eastAsia="Calibri"/>
        </w:rPr>
        <w:t xml:space="preserve">nergy </w:t>
      </w:r>
      <w:r w:rsidR="00E63D9E" w:rsidRPr="00507B52">
        <w:rPr>
          <w:rFonts w:eastAsia="Calibri"/>
        </w:rPr>
        <w:t xml:space="preserve">consumption and </w:t>
      </w:r>
      <w:r w:rsidR="00420782" w:rsidRPr="00507B52">
        <w:rPr>
          <w:rFonts w:eastAsia="Calibri"/>
        </w:rPr>
        <w:t>emissions</w:t>
      </w:r>
      <w:bookmarkEnd w:id="4"/>
      <w:bookmarkEnd w:id="8"/>
    </w:p>
    <w:p w14:paraId="5FF9FEB7" w14:textId="750A794C" w:rsidR="00542E32" w:rsidRPr="005C7CFE" w:rsidRDefault="008B6C01" w:rsidP="005C7CFE">
      <w:r>
        <w:t xml:space="preserve">Figure </w:t>
      </w:r>
      <w:r w:rsidR="00647B18">
        <w:t>3</w:t>
      </w:r>
      <w:r>
        <w:t xml:space="preserve"> shows total annual energy combustion emissions, by major source, as estimated by the NEEA, and Figure </w:t>
      </w:r>
      <w:r w:rsidR="00647B18">
        <w:t>4</w:t>
      </w:r>
      <w:r>
        <w:t xml:space="preserve"> shows each of the five sources separately.</w:t>
      </w:r>
      <w:r w:rsidR="00992C12">
        <w:t xml:space="preserve"> </w:t>
      </w:r>
      <w:r w:rsidR="004F22DE">
        <w:t xml:space="preserve">Electricity generation data is to the end of </w:t>
      </w:r>
      <w:r w:rsidR="008C7139">
        <w:t>September</w:t>
      </w:r>
      <w:r w:rsidR="00200254">
        <w:t xml:space="preserve"> </w:t>
      </w:r>
      <w:r w:rsidR="00960440">
        <w:t>2021</w:t>
      </w:r>
      <w:r w:rsidR="004F22DE">
        <w:t xml:space="preserve">, gas </w:t>
      </w:r>
      <w:r w:rsidR="00390C6A">
        <w:t xml:space="preserve">and petroleum </w:t>
      </w:r>
      <w:r w:rsidR="008C7139">
        <w:t>data to the end of August 2021</w:t>
      </w:r>
      <w:r w:rsidR="004F22DE">
        <w:t>.</w:t>
      </w:r>
    </w:p>
    <w:p w14:paraId="27F79493" w14:textId="331B062C" w:rsidR="002A237D" w:rsidRPr="00854BD5" w:rsidRDefault="003165BE" w:rsidP="00992C12">
      <w:pPr>
        <w:pStyle w:val="Caption"/>
      </w:pPr>
      <w:r w:rsidRPr="005010A3">
        <w:t xml:space="preserve">Figure </w:t>
      </w:r>
      <w:r w:rsidR="00647B18">
        <w:t>3</w:t>
      </w:r>
    </w:p>
    <w:p w14:paraId="4470F75E" w14:textId="69E4D2A3" w:rsidR="005C7CFE" w:rsidRDefault="00390C6A" w:rsidP="003165BE">
      <w:pPr>
        <w:jc w:val="center"/>
      </w:pPr>
      <w:r w:rsidRPr="00390C6A">
        <w:rPr>
          <w:noProof/>
        </w:rPr>
        <w:drawing>
          <wp:inline distT="0" distB="0" distL="0" distR="0" wp14:anchorId="7CB6858F" wp14:editId="2B181957">
            <wp:extent cx="4563442" cy="343331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9983" cy="3445759"/>
                    </a:xfrm>
                    <a:prstGeom prst="rect">
                      <a:avLst/>
                    </a:prstGeom>
                    <a:noFill/>
                    <a:ln>
                      <a:noFill/>
                    </a:ln>
                  </pic:spPr>
                </pic:pic>
              </a:graphicData>
            </a:graphic>
          </wp:inline>
        </w:drawing>
      </w:r>
    </w:p>
    <w:p w14:paraId="37F7A268" w14:textId="765AD090" w:rsidR="002A237D" w:rsidRPr="00854BD5" w:rsidRDefault="00D10739" w:rsidP="00992C12">
      <w:pPr>
        <w:pStyle w:val="Caption"/>
      </w:pPr>
      <w:r w:rsidRPr="005010A3">
        <w:lastRenderedPageBreak/>
        <w:t xml:space="preserve">Figure </w:t>
      </w:r>
      <w:r w:rsidR="00647B18">
        <w:t>4</w:t>
      </w:r>
    </w:p>
    <w:p w14:paraId="2FC7E69D" w14:textId="4EC0297D" w:rsidR="00D10739" w:rsidRPr="005C7CFE" w:rsidRDefault="00390C6A" w:rsidP="00D10739">
      <w:pPr>
        <w:jc w:val="center"/>
      </w:pPr>
      <w:r w:rsidRPr="00390C6A">
        <w:rPr>
          <w:noProof/>
        </w:rPr>
        <w:drawing>
          <wp:inline distT="0" distB="0" distL="0" distR="0" wp14:anchorId="3E40601C" wp14:editId="16FDEA16">
            <wp:extent cx="4640916" cy="3482324"/>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6605" cy="3486593"/>
                    </a:xfrm>
                    <a:prstGeom prst="rect">
                      <a:avLst/>
                    </a:prstGeom>
                    <a:noFill/>
                    <a:ln>
                      <a:noFill/>
                    </a:ln>
                  </pic:spPr>
                </pic:pic>
              </a:graphicData>
            </a:graphic>
          </wp:inline>
        </w:drawing>
      </w:r>
    </w:p>
    <w:p w14:paraId="76037E84" w14:textId="77777777" w:rsidR="00256A97" w:rsidRDefault="00256A97" w:rsidP="00933515"/>
    <w:p w14:paraId="398BC150" w14:textId="2560138E" w:rsidR="002F7C79" w:rsidRDefault="00E010CC" w:rsidP="00933515">
      <w:r>
        <w:t xml:space="preserve">Figure </w:t>
      </w:r>
      <w:r w:rsidR="00872444">
        <w:t>4</w:t>
      </w:r>
      <w:r>
        <w:t xml:space="preserve"> shows just the changes in emissions, making them much easier to see.</w:t>
      </w:r>
      <w:r w:rsidR="00992C12">
        <w:t xml:space="preserve"> </w:t>
      </w:r>
      <w:r w:rsidR="002F7C79">
        <w:t>As discussed in the previous NEEA report, the sharp fall in annualised emissions over the year February 2020 to February 2021, attributable to reduce</w:t>
      </w:r>
      <w:r w:rsidR="00390C6A">
        <w:t>d</w:t>
      </w:r>
      <w:r w:rsidR="002F7C79">
        <w:t xml:space="preserve"> road and air transport during lockdowns, was reversed </w:t>
      </w:r>
      <w:r w:rsidR="00F23D8E">
        <w:t>in subsequent months.</w:t>
      </w:r>
      <w:r w:rsidR="001D5366">
        <w:t xml:space="preserve"> </w:t>
      </w:r>
      <w:r w:rsidR="002F7C79">
        <w:t>With the reimposition of lockdowns in New South Wales and Victoria in July, the trend of petroleum emission</w:t>
      </w:r>
      <w:r w:rsidR="00F23D8E">
        <w:t>s</w:t>
      </w:r>
      <w:r w:rsidR="002F7C79">
        <w:t xml:space="preserve"> again </w:t>
      </w:r>
      <w:r w:rsidR="00F23D8E">
        <w:t>chang</w:t>
      </w:r>
      <w:r w:rsidR="002F7C79">
        <w:t xml:space="preserve">ed, but </w:t>
      </w:r>
      <w:r w:rsidR="00340229">
        <w:t>decreased consumption of petrol and diesel by cars and light commercial vehicles was largely offset by strong growth in bulk diesel consumption, presumably largely in et mining industry.</w:t>
      </w:r>
      <w:r w:rsidR="001D5366">
        <w:t xml:space="preserve"> </w:t>
      </w:r>
      <w:r w:rsidR="00340229">
        <w:t xml:space="preserve">A further strong reversal </w:t>
      </w:r>
      <w:r w:rsidR="002F7C79">
        <w:t>can be expected by the end of 2021</w:t>
      </w:r>
      <w:r w:rsidR="00340229">
        <w:t>, following the lifting of lockdowns</w:t>
      </w:r>
      <w:r w:rsidR="002F7C79">
        <w:t>.</w:t>
      </w:r>
      <w:r w:rsidR="001D5366">
        <w:t xml:space="preserve"> </w:t>
      </w:r>
      <w:r w:rsidR="002F7C79">
        <w:t xml:space="preserve">There </w:t>
      </w:r>
      <w:r w:rsidR="00340229">
        <w:t>remains no</w:t>
      </w:r>
      <w:r w:rsidR="002F7C79">
        <w:t xml:space="preserve"> indication that a prolonged reduction in petroleum emissions will emerge in the absence of significant </w:t>
      </w:r>
      <w:r w:rsidR="00340229">
        <w:t xml:space="preserve">transport </w:t>
      </w:r>
      <w:r w:rsidR="002F7C79">
        <w:t>policy changes.</w:t>
      </w:r>
    </w:p>
    <w:p w14:paraId="7BB5732B" w14:textId="75B6DAED" w:rsidR="002F7C79" w:rsidRDefault="002F7C79" w:rsidP="00933515">
      <w:r>
        <w:t xml:space="preserve">Another point to note is that the total reduction </w:t>
      </w:r>
      <w:r w:rsidR="00514335">
        <w:t>in energy combustion emissions between 2011 and 2020, as calculated by the NEEA, is larger than the negligibly small reductions in total national energy combustion emissions.</w:t>
      </w:r>
      <w:r w:rsidR="001D5366">
        <w:t xml:space="preserve"> </w:t>
      </w:r>
      <w:r w:rsidR="00514335">
        <w:t>The difference is caused by the large increase in emissions from gas use in Western Australia, mainly for electricity generation used by the mining and minerals processing</w:t>
      </w:r>
      <w:r w:rsidR="00340229">
        <w:t xml:space="preserve"> industries</w:t>
      </w:r>
      <w:r w:rsidR="00514335">
        <w:t>, and for the production of LNG.</w:t>
      </w:r>
      <w:r w:rsidR="001D5366">
        <w:t xml:space="preserve"> </w:t>
      </w:r>
      <w:r w:rsidR="00514335">
        <w:t xml:space="preserve">The previous NEEA report included an examination of </w:t>
      </w:r>
      <w:r w:rsidR="0064124F">
        <w:t>the large volume of gas consumption, and consequent emissions, associated with the LNG industry.</w:t>
      </w:r>
    </w:p>
    <w:p w14:paraId="49E7AECB" w14:textId="4F2DB323" w:rsidR="004C6B2B" w:rsidRPr="00507B52" w:rsidRDefault="0064124F" w:rsidP="00507B52">
      <w:pPr>
        <w:pStyle w:val="Heading2"/>
        <w:rPr>
          <w:rFonts w:eastAsia="Calibri"/>
        </w:rPr>
      </w:pPr>
      <w:bookmarkStart w:id="9" w:name="_Toc85726469"/>
      <w:r w:rsidRPr="00507B52">
        <w:rPr>
          <w:rFonts w:eastAsia="Calibri"/>
        </w:rPr>
        <w:lastRenderedPageBreak/>
        <w:t>Electricity generation, consumption and emissions in the NEM</w:t>
      </w:r>
      <w:bookmarkEnd w:id="9"/>
    </w:p>
    <w:p w14:paraId="4F50B299" w14:textId="6DCBFE2E" w:rsidR="002705C7" w:rsidRDefault="00872444" w:rsidP="002705C7">
      <w:r>
        <w:t>Figure 5 shows changes in generation and emissions, relative to their levels in the year to June 2008</w:t>
      </w:r>
      <w:r w:rsidR="00E65170">
        <w:t>. It can be seen that both total emissions and emissions intensity</w:t>
      </w:r>
      <w:r w:rsidR="00963BDB">
        <w:t xml:space="preserve"> are continuing to fall.</w:t>
      </w:r>
      <w:r w:rsidR="001D5366">
        <w:t xml:space="preserve"> </w:t>
      </w:r>
      <w:r w:rsidR="00963BDB">
        <w:t>In the year to September 2021, total emissions arising from NEM generato</w:t>
      </w:r>
      <w:r w:rsidR="009D39EE">
        <w:t>r</w:t>
      </w:r>
      <w:r w:rsidR="00963BDB">
        <w:t xml:space="preserve">s were </w:t>
      </w:r>
      <w:r w:rsidR="009D39EE">
        <w:t>30% lower than their maximum level, which was reached exactly thirteen years earlier, in the year to September 2008.</w:t>
      </w:r>
      <w:r w:rsidR="001D5366">
        <w:t xml:space="preserve"> </w:t>
      </w:r>
      <w:r w:rsidR="001B2B1A">
        <w:t xml:space="preserve">Total annual coal generation was 27% below the maximum </w:t>
      </w:r>
      <w:r w:rsidR="00507B52">
        <w:t>level,</w:t>
      </w:r>
      <w:r w:rsidR="001B2B1A">
        <w:t xml:space="preserve"> which was reached in the year to January 2009, and has been falling month</w:t>
      </w:r>
      <w:r w:rsidR="001D5366">
        <w:t>-</w:t>
      </w:r>
      <w:r w:rsidR="001B2B1A">
        <w:t>by</w:t>
      </w:r>
      <w:r w:rsidR="001D5366">
        <w:t>-</w:t>
      </w:r>
      <w:r w:rsidR="001B2B1A">
        <w:t>month for several years.</w:t>
      </w:r>
      <w:r w:rsidR="001D5366">
        <w:t xml:space="preserve"> </w:t>
      </w:r>
      <w:r w:rsidR="0079302A">
        <w:t>As a share of annual total generation in the NEM, combined black and brown coal generation fell to 68.3% in the year to September 2021, and, as a share of all electricity supplied, including rooftop solar, it was 62.9%.</w:t>
      </w:r>
      <w:r w:rsidR="001D5366">
        <w:t xml:space="preserve"> </w:t>
      </w:r>
      <w:r w:rsidR="0079302A">
        <w:t>Since gas generation has also been falling, to 6.2%, the lowest level since 2006, moving annual total renewable generation is now clearly above 30%, as shown in Figure 6.</w:t>
      </w:r>
      <w:r w:rsidR="001D5366">
        <w:t xml:space="preserve"> </w:t>
      </w:r>
      <w:r w:rsidR="00B86FA6">
        <w:t>It can be seen that annual output from rooftop solar has now exceeded annual hydro generation</w:t>
      </w:r>
      <w:r w:rsidR="00103D95">
        <w:t>, following wind generation which overtook hydro just over two years ago.</w:t>
      </w:r>
      <w:r w:rsidR="00B86FA6">
        <w:t xml:space="preserve"> </w:t>
      </w:r>
    </w:p>
    <w:p w14:paraId="12B2E943" w14:textId="479EE672" w:rsidR="00872444" w:rsidRPr="00854BD5" w:rsidRDefault="00872444" w:rsidP="00872444">
      <w:pPr>
        <w:pStyle w:val="Caption"/>
      </w:pPr>
      <w:r w:rsidRPr="005010A3">
        <w:t xml:space="preserve">Figure </w:t>
      </w:r>
      <w:r w:rsidR="006814EE">
        <w:t>5</w:t>
      </w:r>
    </w:p>
    <w:p w14:paraId="6D49BAF7" w14:textId="63ACAF7E" w:rsidR="002705C7" w:rsidRDefault="00872444" w:rsidP="00872444">
      <w:pPr>
        <w:jc w:val="center"/>
      </w:pPr>
      <w:r w:rsidRPr="00872444">
        <w:rPr>
          <w:noProof/>
        </w:rPr>
        <w:drawing>
          <wp:inline distT="0" distB="0" distL="0" distR="0" wp14:anchorId="0BBCFA8E" wp14:editId="59CDAA95">
            <wp:extent cx="4694672" cy="255833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11408" cy="2567453"/>
                    </a:xfrm>
                    <a:prstGeom prst="rect">
                      <a:avLst/>
                    </a:prstGeom>
                    <a:noFill/>
                    <a:ln>
                      <a:noFill/>
                    </a:ln>
                  </pic:spPr>
                </pic:pic>
              </a:graphicData>
            </a:graphic>
          </wp:inline>
        </w:drawing>
      </w:r>
    </w:p>
    <w:p w14:paraId="428EA929" w14:textId="6D742183" w:rsidR="0079302A" w:rsidRPr="00854BD5" w:rsidRDefault="0079302A" w:rsidP="0079302A">
      <w:pPr>
        <w:pStyle w:val="Caption"/>
      </w:pPr>
      <w:r w:rsidRPr="005010A3">
        <w:lastRenderedPageBreak/>
        <w:t xml:space="preserve">Figure </w:t>
      </w:r>
      <w:r>
        <w:t>6</w:t>
      </w:r>
    </w:p>
    <w:p w14:paraId="2D329B58" w14:textId="225F9F74" w:rsidR="009D39EE" w:rsidRDefault="0079302A" w:rsidP="0079302A">
      <w:pPr>
        <w:jc w:val="center"/>
      </w:pPr>
      <w:r w:rsidRPr="0079302A">
        <w:rPr>
          <w:noProof/>
        </w:rPr>
        <w:drawing>
          <wp:inline distT="0" distB="0" distL="0" distR="0" wp14:anchorId="7F042079" wp14:editId="48DDABA2">
            <wp:extent cx="4710820" cy="26384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3574" cy="2645568"/>
                    </a:xfrm>
                    <a:prstGeom prst="rect">
                      <a:avLst/>
                    </a:prstGeom>
                    <a:noFill/>
                    <a:ln>
                      <a:noFill/>
                    </a:ln>
                  </pic:spPr>
                </pic:pic>
              </a:graphicData>
            </a:graphic>
          </wp:inline>
        </w:drawing>
      </w:r>
    </w:p>
    <w:p w14:paraId="5D223185" w14:textId="55E37720" w:rsidR="0003794A" w:rsidRDefault="00103D95" w:rsidP="002705C7">
      <w:r>
        <w:t>In southern Australia, the early spring months of September and October often experience extended periods of windy weather.</w:t>
      </w:r>
      <w:r w:rsidR="001D5366">
        <w:t xml:space="preserve"> </w:t>
      </w:r>
      <w:r>
        <w:t>Combined with steadily lengthening days, higher sun angles and mild ambient temperatures, this means that spring is the period when combined wind and solar generation reach their maximum share of generation.</w:t>
      </w:r>
      <w:r w:rsidR="001D5366">
        <w:t xml:space="preserve"> </w:t>
      </w:r>
      <w:r>
        <w:t>In South Australia and Queensland, which are the states with the highest shares of rooftop solar generation, this also means that the total requirement for grid generation falls to its minimum annual level.</w:t>
      </w:r>
      <w:r w:rsidR="001D5366">
        <w:t xml:space="preserve"> </w:t>
      </w:r>
      <w:r w:rsidR="0003794A">
        <w:t>New NEM records for both of these parameters are certain to be set before the end of November.</w:t>
      </w:r>
      <w:r w:rsidR="001D5366">
        <w:t xml:space="preserve"> </w:t>
      </w:r>
      <w:r w:rsidR="0003794A">
        <w:t>In this issue of the NEEA report, we look at relevant recent developments i</w:t>
      </w:r>
      <w:r w:rsidR="001D5366">
        <w:t>n</w:t>
      </w:r>
      <w:r w:rsidR="0003794A">
        <w:t xml:space="preserve"> South Australia, where (excluding Tasmania) the shift to zero emission generation is furthest advanced.</w:t>
      </w:r>
    </w:p>
    <w:p w14:paraId="49C88B17" w14:textId="12FBF558" w:rsidR="0003794A" w:rsidRPr="00507B52" w:rsidRDefault="0003794A" w:rsidP="00507B52">
      <w:pPr>
        <w:pStyle w:val="Heading2"/>
        <w:rPr>
          <w:rFonts w:eastAsia="Calibri"/>
        </w:rPr>
      </w:pPr>
      <w:bookmarkStart w:id="10" w:name="_Toc85726470"/>
      <w:r w:rsidRPr="00507B52">
        <w:rPr>
          <w:rFonts w:eastAsia="Calibri"/>
        </w:rPr>
        <w:t>Update on South Australia</w:t>
      </w:r>
      <w:bookmarkEnd w:id="10"/>
    </w:p>
    <w:p w14:paraId="4BB4E8E9" w14:textId="099AAAD7" w:rsidR="00C00E0D" w:rsidRDefault="00C00E0D" w:rsidP="002705C7">
      <w:r>
        <w:t>Figure 7 shows the changes in electricity supply in south Australia over the past thirteen years, expressed in moving annual energy units (TWh).</w:t>
      </w:r>
      <w:r w:rsidR="001D5366">
        <w:t xml:space="preserve"> </w:t>
      </w:r>
      <w:r>
        <w:t xml:space="preserve">Figure 8 expresses the mix in terms of shares of total supply. </w:t>
      </w:r>
    </w:p>
    <w:p w14:paraId="65C5EAE1" w14:textId="0166DEAF" w:rsidR="00C00E0D" w:rsidRPr="00854BD5" w:rsidRDefault="00C00E0D" w:rsidP="00C00E0D">
      <w:pPr>
        <w:pStyle w:val="Caption"/>
      </w:pPr>
      <w:r w:rsidRPr="005010A3">
        <w:lastRenderedPageBreak/>
        <w:t xml:space="preserve">Figure </w:t>
      </w:r>
      <w:r>
        <w:t>7</w:t>
      </w:r>
    </w:p>
    <w:p w14:paraId="2C36F376" w14:textId="48BA9690" w:rsidR="00C00E0D" w:rsidRDefault="00C00E0D" w:rsidP="00C00E0D">
      <w:pPr>
        <w:jc w:val="center"/>
      </w:pPr>
      <w:r w:rsidRPr="00C00E0D">
        <w:rPr>
          <w:noProof/>
        </w:rPr>
        <w:drawing>
          <wp:inline distT="0" distB="0" distL="0" distR="0" wp14:anchorId="24F28561" wp14:editId="5785D1F5">
            <wp:extent cx="4705350" cy="33740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10432" cy="3377675"/>
                    </a:xfrm>
                    <a:prstGeom prst="rect">
                      <a:avLst/>
                    </a:prstGeom>
                    <a:noFill/>
                    <a:ln>
                      <a:noFill/>
                    </a:ln>
                  </pic:spPr>
                </pic:pic>
              </a:graphicData>
            </a:graphic>
          </wp:inline>
        </w:drawing>
      </w:r>
    </w:p>
    <w:p w14:paraId="2B0F2546" w14:textId="3DD6DF84" w:rsidR="00C00E0D" w:rsidRDefault="00C00E0D" w:rsidP="00C00E0D">
      <w:r>
        <w:t>In the year to the end of September 2021, renewable generation, including rooftop solar, accounted for over 62% of all electricity supplied in South Australia.</w:t>
      </w:r>
      <w:r w:rsidR="001D5366">
        <w:t xml:space="preserve"> </w:t>
      </w:r>
      <w:r>
        <w:t>This is a much higher share of total supply in South Australia than in any of the other three mainland states in the NEM; Victoria was the next highest at just under 35%.</w:t>
      </w:r>
      <w:r w:rsidR="001D5366">
        <w:t xml:space="preserve"> </w:t>
      </w:r>
      <w:r>
        <w:t>Moreover, unlike Victoria, where hydro contributed just under 6% of total supply, all renewable generation in South Australia is variable (non-dispatchable).</w:t>
      </w:r>
      <w:r w:rsidR="001D5366">
        <w:t xml:space="preserve"> </w:t>
      </w:r>
      <w:r>
        <w:t>In addition, rooftop solar contributed over 15% of total supply, which is considerable higher than the share of just under 9% in Queensland, the next highest NEM state.</w:t>
      </w:r>
    </w:p>
    <w:p w14:paraId="392EF299" w14:textId="77777777" w:rsidR="00C00E0D" w:rsidRDefault="00C00E0D" w:rsidP="00C00E0D"/>
    <w:p w14:paraId="4CB2A4A9" w14:textId="1B631C2D" w:rsidR="00C00E0D" w:rsidRPr="00854BD5" w:rsidRDefault="00C00E0D" w:rsidP="00C00E0D">
      <w:pPr>
        <w:pStyle w:val="Caption"/>
      </w:pPr>
      <w:r w:rsidRPr="005010A3">
        <w:lastRenderedPageBreak/>
        <w:t xml:space="preserve">Figure </w:t>
      </w:r>
      <w:r>
        <w:t>8</w:t>
      </w:r>
    </w:p>
    <w:p w14:paraId="0F0751F4" w14:textId="2CF340F5" w:rsidR="00C00E0D" w:rsidRDefault="00C00E0D" w:rsidP="00C00E0D">
      <w:pPr>
        <w:jc w:val="center"/>
      </w:pPr>
      <w:r w:rsidRPr="00C00E0D">
        <w:rPr>
          <w:noProof/>
        </w:rPr>
        <w:drawing>
          <wp:inline distT="0" distB="0" distL="0" distR="0" wp14:anchorId="002BB66E" wp14:editId="28F0EFC7">
            <wp:extent cx="4489775" cy="3219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0856" cy="3220225"/>
                    </a:xfrm>
                    <a:prstGeom prst="rect">
                      <a:avLst/>
                    </a:prstGeom>
                    <a:noFill/>
                    <a:ln>
                      <a:noFill/>
                    </a:ln>
                  </pic:spPr>
                </pic:pic>
              </a:graphicData>
            </a:graphic>
          </wp:inline>
        </w:drawing>
      </w:r>
    </w:p>
    <w:p w14:paraId="4024178A" w14:textId="16B3F593" w:rsidR="0003794A" w:rsidRDefault="00BC0BFB" w:rsidP="002705C7">
      <w:r>
        <w:t xml:space="preserve">These statistics </w:t>
      </w:r>
      <w:r w:rsidR="00161E37">
        <w:t>have required the South Australian electricity supply system to become a leader in confronting the challenges of integrated variable generation resources into grid electricity supply.</w:t>
      </w:r>
      <w:r w:rsidR="001D5366">
        <w:t xml:space="preserve"> </w:t>
      </w:r>
      <w:r w:rsidR="00161E37">
        <w:t>One of the biggest of these challenges has been deciding on how to ensure that grid security is maintained at all times.</w:t>
      </w:r>
      <w:r w:rsidR="001D5366">
        <w:t xml:space="preserve"> </w:t>
      </w:r>
      <w:r w:rsidR="00161E37">
        <w:t>Following the traumatic experience of the system black</w:t>
      </w:r>
      <w:r w:rsidR="009773BF">
        <w:t xml:space="preserve"> out</w:t>
      </w:r>
      <w:r w:rsidR="00161E37">
        <w:t xml:space="preserve">, now just over five years ago, AEMO adopted a policy of specifying minimum levels of conventional synchronous generation to be </w:t>
      </w:r>
      <w:r w:rsidR="00507B52">
        <w:t>online</w:t>
      </w:r>
      <w:r w:rsidR="00161E37">
        <w:t xml:space="preserve"> at all times.</w:t>
      </w:r>
      <w:r w:rsidR="001D5366">
        <w:t xml:space="preserve"> </w:t>
      </w:r>
      <w:r w:rsidR="00161E37">
        <w:t>In practice</w:t>
      </w:r>
      <w:r w:rsidR="009773BF">
        <w:t xml:space="preserve">, </w:t>
      </w:r>
      <w:r w:rsidR="00161E37">
        <w:t>this meant minimum levels of power supply from local gas generato</w:t>
      </w:r>
      <w:r w:rsidR="008E0FCB">
        <w:t>r</w:t>
      </w:r>
      <w:r w:rsidR="00161E37">
        <w:t xml:space="preserve">s and minimum numbers of individual gas power station units </w:t>
      </w:r>
      <w:r w:rsidR="008E0FCB">
        <w:t>on-line.</w:t>
      </w:r>
      <w:r w:rsidR="001D5366">
        <w:t xml:space="preserve"> </w:t>
      </w:r>
      <w:r w:rsidR="008E0FCB">
        <w:t>This in turn meant that AEMO often required wind generators to curtail their output to allow “space” for gas generation.</w:t>
      </w:r>
      <w:r w:rsidR="001D5366">
        <w:t xml:space="preserve"> </w:t>
      </w:r>
      <w:r w:rsidR="00507B52">
        <w:t>Obviously,</w:t>
      </w:r>
      <w:r w:rsidR="008E0FCB">
        <w:t xml:space="preserve"> this imposed financial costs on wind generators and pushed up electricity cost for consumers.</w:t>
      </w:r>
      <w:r w:rsidR="001D5366">
        <w:t xml:space="preserve"> </w:t>
      </w:r>
    </w:p>
    <w:p w14:paraId="0D0F5471" w14:textId="0A102483" w:rsidR="008E0FCB" w:rsidRDefault="008E0FCB" w:rsidP="002705C7">
      <w:r>
        <w:t xml:space="preserve">ElectraNet, the local transmission service provider, responded to this problem by deciding to install four synchronous condensers at two key locations in the state grid, in order to provide the required levels of system strength and inertia to the </w:t>
      </w:r>
      <w:r w:rsidR="00BB32FA">
        <w:t>S</w:t>
      </w:r>
      <w:r>
        <w:t>outh Australian grid</w:t>
      </w:r>
      <w:r w:rsidR="00BB32FA">
        <w:t>.</w:t>
      </w:r>
      <w:r w:rsidR="001D5366">
        <w:t xml:space="preserve"> </w:t>
      </w:r>
      <w:r w:rsidR="00BB32FA">
        <w:t>All four of these machines have now been installed and commissioned, which means that during coming months are likely to see further increase in the share of renewable supply in South Australia, over and above the expected seasonal shift.</w:t>
      </w:r>
    </w:p>
    <w:p w14:paraId="333397E4" w14:textId="3D6DD37C" w:rsidR="00D52975" w:rsidRDefault="00BB32FA" w:rsidP="002705C7">
      <w:r>
        <w:t xml:space="preserve">One distinct indicator of the impact </w:t>
      </w:r>
      <w:r w:rsidR="00A3359C">
        <w:t>of rooftop solar in particular, is the low demand for grid supplied electricity in the middle of the day whenever there is sunny weather.</w:t>
      </w:r>
      <w:r w:rsidR="001D5366">
        <w:t xml:space="preserve"> </w:t>
      </w:r>
      <w:r w:rsidR="00D52975">
        <w:t xml:space="preserve">Figure </w:t>
      </w:r>
      <w:r w:rsidR="00CD5A36">
        <w:t>9</w:t>
      </w:r>
      <w:r w:rsidR="00D52975">
        <w:t xml:space="preserve"> is an update of a graph from last year, with one more year of data.</w:t>
      </w:r>
      <w:r w:rsidR="001D5366">
        <w:t xml:space="preserve"> </w:t>
      </w:r>
      <w:r w:rsidR="00D52975">
        <w:t>It shows minimum annual grid demand for each year, and whether the minimum occurred during daylight hours or overnight.</w:t>
      </w:r>
      <w:r w:rsidR="001D5366">
        <w:t xml:space="preserve"> </w:t>
      </w:r>
      <w:r w:rsidR="00D52975">
        <w:t>It shows that the transition for overnight to daytime minimum occurred eight years ago, and that system minimum demand is getting smaller every year, as rooftop solar capacity continues its rapid growth.</w:t>
      </w:r>
      <w:r w:rsidR="001D5366">
        <w:t xml:space="preserve"> </w:t>
      </w:r>
      <w:r w:rsidR="00D52975">
        <w:lastRenderedPageBreak/>
        <w:t>Although not graphed here, all the other three mainland NEM regions have also now transitioned to daytime annual minimum annual system demand.</w:t>
      </w:r>
      <w:r w:rsidR="001D5366">
        <w:t xml:space="preserve"> </w:t>
      </w:r>
      <w:r w:rsidR="00D52975">
        <w:t>During 202-21 the minimum occurred on 25 May 2021 in Queensland, 11 April 2021 in New South Wales and 25 December 2020 in Victoria.</w:t>
      </w:r>
    </w:p>
    <w:p w14:paraId="243982E8" w14:textId="4F529833" w:rsidR="00D52975" w:rsidRPr="00854BD5" w:rsidRDefault="00D52975" w:rsidP="00D52975">
      <w:pPr>
        <w:pStyle w:val="Caption"/>
      </w:pPr>
      <w:r w:rsidRPr="005010A3">
        <w:t xml:space="preserve">Figure </w:t>
      </w:r>
      <w:r w:rsidR="00CD5A36">
        <w:t>9</w:t>
      </w:r>
    </w:p>
    <w:p w14:paraId="26817553" w14:textId="318AED9F" w:rsidR="00A3359C" w:rsidRDefault="00A3359C" w:rsidP="00A3359C">
      <w:pPr>
        <w:jc w:val="center"/>
      </w:pPr>
      <w:r w:rsidRPr="00A3359C">
        <w:rPr>
          <w:noProof/>
        </w:rPr>
        <w:drawing>
          <wp:inline distT="0" distB="0" distL="0" distR="0" wp14:anchorId="616A28E7" wp14:editId="43F1969A">
            <wp:extent cx="4695825" cy="36268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6928" cy="3627709"/>
                    </a:xfrm>
                    <a:prstGeom prst="rect">
                      <a:avLst/>
                    </a:prstGeom>
                    <a:noFill/>
                    <a:ln>
                      <a:noFill/>
                    </a:ln>
                  </pic:spPr>
                </pic:pic>
              </a:graphicData>
            </a:graphic>
          </wp:inline>
        </w:drawing>
      </w:r>
    </w:p>
    <w:p w14:paraId="0B0AFDB3" w14:textId="6BFC0F44" w:rsidR="002D3F2F" w:rsidRDefault="002D3F2F" w:rsidP="002D3F2F">
      <w:r>
        <w:t>The coal-based electricity generation system, which remains the basis of the NEM despite the growth in renewable generation, was built on the assumption that minimum daily demand always occurs overnight, and various marketing strategies, notably off-peak electric storage water heating, were designed to support this daily pattern of demand.</w:t>
      </w:r>
      <w:r w:rsidR="001D5366">
        <w:t xml:space="preserve"> </w:t>
      </w:r>
      <w:r>
        <w:t>As we have previously discussed, daytime minimum grid demand is eroding the profitability of coal generation and may increase maintenance costs.</w:t>
      </w:r>
      <w:r w:rsidR="001D5366">
        <w:t xml:space="preserve"> </w:t>
      </w:r>
      <w:r>
        <w:t>Low minimum demand also imposed challenges for grid operation, as explained by AEMO here:</w:t>
      </w:r>
      <w:r w:rsidR="001D5366">
        <w:t xml:space="preserve"> </w:t>
      </w:r>
      <w:hyperlink r:id="rId22" w:history="1">
        <w:r w:rsidRPr="004703D6">
          <w:rPr>
            <w:rStyle w:val="Hyperlink"/>
          </w:rPr>
          <w:t>https://www.aemo.com.au/learn/energy-explained/energy-101/energy-explained-minimum-operational-demand</w:t>
        </w:r>
      </w:hyperlink>
      <w:r>
        <w:t xml:space="preserve"> </w:t>
      </w:r>
    </w:p>
    <w:p w14:paraId="3FB3781F" w14:textId="7CF777F9" w:rsidR="002D3F2F" w:rsidRDefault="002D3F2F" w:rsidP="002D3F2F">
      <w:r>
        <w:t>Another crucial issue with heavy reliance of wind and solar generation is the challenge of supplying demand for electricity during prolonged periods of calm, overcast weather</w:t>
      </w:r>
      <w:r w:rsidR="003348A0">
        <w:t>.</w:t>
      </w:r>
      <w:r w:rsidR="001D5366">
        <w:t xml:space="preserve"> </w:t>
      </w:r>
      <w:r w:rsidR="003348A0">
        <w:t xml:space="preserve">In southern Australia, such periods occur during </w:t>
      </w:r>
      <w:r w:rsidR="00403B93">
        <w:t>t</w:t>
      </w:r>
      <w:r w:rsidR="003348A0">
        <w:t>he winter months, when average demand for electricity is higher, as discussed in the last NEEA report.</w:t>
      </w:r>
      <w:r w:rsidR="001D5366">
        <w:t xml:space="preserve"> </w:t>
      </w:r>
      <w:r w:rsidR="003348A0">
        <w:t>Daily demand for electricity was compared with daily generation by wind and solar over each of the four winters from 2018 to 2021 inclusive, as installed wind and solar generation grew steadily in South Australia.</w:t>
      </w:r>
      <w:r w:rsidR="001D5366">
        <w:t xml:space="preserve"> </w:t>
      </w:r>
      <w:r w:rsidR="003348A0">
        <w:t xml:space="preserve">Analysis of the data was based on the shortfall between average daily demand and average daily generation by wind and solar; such shortfalls are currently supplied by gas generators and imports over the </w:t>
      </w:r>
      <w:r w:rsidR="003348A0">
        <w:lastRenderedPageBreak/>
        <w:t>interconnectors from Victoria.</w:t>
      </w:r>
      <w:r w:rsidR="001D5366">
        <w:t xml:space="preserve"> </w:t>
      </w:r>
      <w:r w:rsidR="00795F0C">
        <w:t>It was found that the number of days over each winter on which shortfalls exceeded defined average sizes (1,500 MW, 1,000 MW and 800 MW were used) decreased from 2018 to 2021.</w:t>
      </w:r>
      <w:r w:rsidR="001D5366">
        <w:t xml:space="preserve"> </w:t>
      </w:r>
      <w:r w:rsidR="00795F0C">
        <w:t>More importantly, the duration of periods on which successive days recorded shortfalls above these defined level fell sharply.</w:t>
      </w:r>
      <w:r w:rsidR="001D5366">
        <w:t xml:space="preserve"> </w:t>
      </w:r>
      <w:r w:rsidR="00795F0C">
        <w:t xml:space="preserve">In 2021 </w:t>
      </w:r>
      <w:r w:rsidR="00135C0D">
        <w:t>there was one period of four successive days with a shortfall above 800 MW, and none longer.</w:t>
      </w:r>
      <w:r w:rsidR="001D5366">
        <w:t xml:space="preserve"> </w:t>
      </w:r>
      <w:r w:rsidR="00135C0D">
        <w:t xml:space="preserve">In 2018 there were six such periods, including one of </w:t>
      </w:r>
      <w:r w:rsidR="009773BF">
        <w:t>11</w:t>
      </w:r>
      <w:r w:rsidR="00135C0D">
        <w:t xml:space="preserve"> days duration.</w:t>
      </w:r>
      <w:r w:rsidR="001D5366">
        <w:t xml:space="preserve"> </w:t>
      </w:r>
      <w:r w:rsidR="00135C0D">
        <w:t xml:space="preserve">Such a trend is of course heavily dependent on </w:t>
      </w:r>
      <w:r w:rsidR="00507B52">
        <w:t>year-to-year</w:t>
      </w:r>
      <w:r w:rsidR="00135C0D">
        <w:t xml:space="preserve"> variations in winter weather conditions, but these results suggest that the need for very large capacity of long duration storage or large volumes of back-up gas generation will be less than opponents of the energy transition often suggest.</w:t>
      </w:r>
    </w:p>
    <w:p w14:paraId="63140AA9" w14:textId="21DBE0AF" w:rsidR="002D3F2F" w:rsidRDefault="00135C0D" w:rsidP="002D3F2F">
      <w:r>
        <w:t>Far more detailed and sophisticated examination of these effects is undoubtedly the basis of AEMO’s consistent conclusion, in its successive Integrated System Plans, that the requirement for gas generation capacity in coming years will be much less than the government members and supporters often claim.</w:t>
      </w:r>
    </w:p>
    <w:p w14:paraId="5102E1E4" w14:textId="2CDF1439" w:rsidR="00EE0C10" w:rsidRDefault="00EE0C10">
      <w:pPr>
        <w:spacing w:after="0" w:line="240" w:lineRule="auto"/>
      </w:pPr>
      <w:r>
        <w:br w:type="page"/>
      </w:r>
    </w:p>
    <w:p w14:paraId="1409A291" w14:textId="77777777" w:rsidR="00EE0C10" w:rsidRPr="0096495D" w:rsidRDefault="00EE0C10" w:rsidP="0096495D"/>
    <w:p w14:paraId="2A63C5AB" w14:textId="6323E4A0" w:rsidR="0021453B" w:rsidRPr="005010A3" w:rsidRDefault="00721BA5" w:rsidP="00073501">
      <w:pPr>
        <w:pStyle w:val="Heading2"/>
        <w:rPr>
          <w:rFonts w:asciiTheme="minorHAnsi" w:eastAsia="Calibri" w:hAnsiTheme="minorHAnsi" w:cstheme="minorHAnsi"/>
        </w:rPr>
      </w:pPr>
      <w:bookmarkStart w:id="11" w:name="_Toc85726471"/>
      <w:r w:rsidRPr="005010A3">
        <w:rPr>
          <w:rFonts w:asciiTheme="minorHAnsi" w:hAnsiTheme="minorHAnsi" w:cstheme="minorHAnsi"/>
          <w:lang w:val="en-US"/>
        </w:rPr>
        <w:t>Appendix</w:t>
      </w:r>
      <w:r w:rsidRPr="005010A3">
        <w:rPr>
          <w:rFonts w:asciiTheme="minorHAnsi" w:eastAsia="Calibri" w:hAnsiTheme="minorHAnsi" w:cstheme="minorHAnsi"/>
        </w:rPr>
        <w:t>: Notes on methodology</w:t>
      </w:r>
      <w:bookmarkEnd w:id="11"/>
    </w:p>
    <w:p w14:paraId="50A2EFE9" w14:textId="63707DF2" w:rsidR="00481536" w:rsidRPr="009773BF" w:rsidRDefault="00213A96">
      <w:pPr>
        <w:rPr>
          <w:rFonts w:eastAsia="Calibri" w:cstheme="minorHAnsi"/>
          <w:szCs w:val="24"/>
        </w:rPr>
      </w:pPr>
      <w:r w:rsidRPr="009773BF">
        <w:rPr>
          <w:rFonts w:eastAsia="Calibri" w:cstheme="minorHAnsi"/>
          <w:szCs w:val="24"/>
        </w:rPr>
        <w:t>Data on annual consumption of electricity, and seasonal peak demand, are for each of the six states.</w:t>
      </w:r>
      <w:r w:rsidR="00992C12" w:rsidRPr="009773BF">
        <w:rPr>
          <w:rFonts w:eastAsia="Calibri" w:cstheme="minorHAnsi"/>
          <w:szCs w:val="24"/>
        </w:rPr>
        <w:t xml:space="preserve"> </w:t>
      </w:r>
      <w:r w:rsidRPr="009773BF">
        <w:rPr>
          <w:rFonts w:eastAsia="Calibri" w:cstheme="minorHAnsi"/>
          <w:szCs w:val="24"/>
        </w:rPr>
        <w:t xml:space="preserve">All other data are for the states constituting the National Electricity Market (NEM) only, </w:t>
      </w:r>
      <w:r w:rsidR="00507B52" w:rsidRPr="009773BF">
        <w:rPr>
          <w:rFonts w:eastAsia="Calibri" w:cstheme="minorHAnsi"/>
          <w:szCs w:val="24"/>
        </w:rPr>
        <w:t>i.e.,</w:t>
      </w:r>
      <w:r w:rsidRPr="009773BF">
        <w:rPr>
          <w:rFonts w:eastAsia="Calibri" w:cstheme="minorHAnsi"/>
          <w:szCs w:val="24"/>
        </w:rPr>
        <w:t xml:space="preserve"> they exclude Western Australia</w:t>
      </w:r>
      <w:r w:rsidR="00880DBF" w:rsidRPr="009773BF">
        <w:rPr>
          <w:rFonts w:eastAsia="Calibri" w:cstheme="minorHAnsi"/>
          <w:szCs w:val="24"/>
        </w:rPr>
        <w:t xml:space="preserve"> and the Northern Territory</w:t>
      </w:r>
      <w:r w:rsidRPr="009773BF">
        <w:rPr>
          <w:rFonts w:eastAsia="Calibri" w:cstheme="minorHAnsi"/>
          <w:szCs w:val="24"/>
        </w:rPr>
        <w:t>. All data are reported as annual moving averages.</w:t>
      </w:r>
      <w:r w:rsidR="00992C12" w:rsidRPr="009773BF">
        <w:rPr>
          <w:rFonts w:eastAsia="Calibri" w:cstheme="minorHAnsi"/>
          <w:szCs w:val="24"/>
        </w:rPr>
        <w:t xml:space="preserve"> </w:t>
      </w:r>
      <w:r w:rsidRPr="009773BF">
        <w:rPr>
          <w:rFonts w:eastAsia="Calibri" w:cstheme="minorHAnsi"/>
          <w:szCs w:val="24"/>
        </w:rPr>
        <w:t>This approach removes the impact of seasonal changes on the reported data.</w:t>
      </w:r>
      <w:r w:rsidR="00992C12" w:rsidRPr="009773BF">
        <w:rPr>
          <w:rFonts w:eastAsia="Calibri" w:cstheme="minorHAnsi"/>
          <w:szCs w:val="24"/>
        </w:rPr>
        <w:t xml:space="preserve"> </w:t>
      </w:r>
      <w:r w:rsidRPr="009773BF">
        <w:rPr>
          <w:rFonts w:eastAsia="Calibri" w:cstheme="minorHAnsi"/>
          <w:szCs w:val="24"/>
        </w:rPr>
        <w:t xml:space="preserve">Annualised data reported in </w:t>
      </w:r>
      <w:r w:rsidRPr="009773BF">
        <w:rPr>
          <w:rFonts w:eastAsia="Calibri" w:cstheme="minorHAnsi"/>
          <w:i/>
          <w:szCs w:val="24"/>
        </w:rPr>
        <w:t>NEEA Electricity Update</w:t>
      </w:r>
      <w:r w:rsidRPr="009773BF">
        <w:rPr>
          <w:rFonts w:eastAsia="Calibri" w:cstheme="minorHAnsi"/>
          <w:szCs w:val="24"/>
        </w:rPr>
        <w:t xml:space="preserve"> will show a month</w:t>
      </w:r>
      <w:r w:rsidR="00880DBF" w:rsidRPr="009773BF">
        <w:rPr>
          <w:rFonts w:eastAsia="Calibri" w:cstheme="minorHAnsi"/>
          <w:szCs w:val="24"/>
        </w:rPr>
        <w:t>-</w:t>
      </w:r>
      <w:r w:rsidRPr="009773BF">
        <w:rPr>
          <w:rFonts w:eastAsia="Calibri" w:cstheme="minorHAnsi"/>
          <w:szCs w:val="24"/>
        </w:rPr>
        <w:t>on</w:t>
      </w:r>
      <w:r w:rsidR="00880DBF" w:rsidRPr="009773BF">
        <w:rPr>
          <w:rFonts w:eastAsia="Calibri" w:cstheme="minorHAnsi"/>
          <w:szCs w:val="24"/>
        </w:rPr>
        <w:t>-</w:t>
      </w:r>
      <w:r w:rsidRPr="009773BF">
        <w:rPr>
          <w:rFonts w:eastAsia="Calibri" w:cstheme="minorHAnsi"/>
          <w:szCs w:val="24"/>
        </w:rPr>
        <w:t>month increase if the most recent monthly quantity is greater than the quantity in the corresponding month one year previously.</w:t>
      </w:r>
      <w:r w:rsidR="00992C12" w:rsidRPr="009773BF">
        <w:rPr>
          <w:rFonts w:eastAsia="Calibri" w:cstheme="minorHAnsi"/>
          <w:szCs w:val="24"/>
        </w:rPr>
        <w:t xml:space="preserve"> </w:t>
      </w:r>
      <w:r w:rsidRPr="009773BF">
        <w:rPr>
          <w:rFonts w:eastAsia="Calibri" w:cstheme="minorHAnsi"/>
          <w:szCs w:val="24"/>
        </w:rPr>
        <w:t xml:space="preserve">Most data are presented in the form of time series graphs, starting in June 2011, </w:t>
      </w:r>
      <w:r w:rsidR="00507B52" w:rsidRPr="009773BF">
        <w:rPr>
          <w:rFonts w:eastAsia="Calibri" w:cstheme="minorHAnsi"/>
          <w:szCs w:val="24"/>
        </w:rPr>
        <w:t>i.e.,</w:t>
      </w:r>
      <w:r w:rsidRPr="009773BF">
        <w:rPr>
          <w:rFonts w:eastAsia="Calibri" w:cstheme="minorHAnsi"/>
          <w:szCs w:val="24"/>
        </w:rPr>
        <w:t xml:space="preserve"> with the year ending June 2011.</w:t>
      </w:r>
      <w:r w:rsidR="00992C12" w:rsidRPr="009773BF">
        <w:rPr>
          <w:rFonts w:eastAsia="Calibri" w:cstheme="minorHAnsi"/>
          <w:szCs w:val="24"/>
        </w:rPr>
        <w:t xml:space="preserve"> </w:t>
      </w:r>
      <w:r w:rsidRPr="009773BF">
        <w:rPr>
          <w:rFonts w:eastAsia="Calibri" w:cstheme="minorHAnsi"/>
          <w:szCs w:val="24"/>
        </w:rPr>
        <w:t>Some graphs start in June 2008.</w:t>
      </w:r>
      <w:r w:rsidR="00992C12" w:rsidRPr="009773BF">
        <w:rPr>
          <w:rFonts w:eastAsia="Calibri" w:cstheme="minorHAnsi"/>
          <w:szCs w:val="24"/>
        </w:rPr>
        <w:t xml:space="preserve"> </w:t>
      </w:r>
      <w:r w:rsidRPr="009773BF">
        <w:rPr>
          <w:rFonts w:eastAsia="Calibri" w:cstheme="minorHAnsi"/>
          <w:szCs w:val="24"/>
        </w:rPr>
        <w:t>These starting dates have been chosen to highlight important trends, while enhancing presentational clarity.</w:t>
      </w:r>
    </w:p>
    <w:p w14:paraId="15DA9FBB" w14:textId="578A3404" w:rsidR="00481536" w:rsidRPr="009773BF" w:rsidRDefault="00213A96">
      <w:pPr>
        <w:rPr>
          <w:rFonts w:eastAsia="Calibri" w:cstheme="minorHAnsi"/>
          <w:szCs w:val="24"/>
        </w:rPr>
      </w:pPr>
      <w:r w:rsidRPr="009773BF">
        <w:rPr>
          <w:rFonts w:eastAsia="Calibri" w:cstheme="minorHAnsi"/>
          <w:szCs w:val="24"/>
        </w:rPr>
        <w:t xml:space="preserve">Defining the </w:t>
      </w:r>
      <w:r w:rsidR="00207D71" w:rsidRPr="009773BF">
        <w:rPr>
          <w:rFonts w:eastAsia="Calibri" w:cstheme="minorHAnsi"/>
          <w:szCs w:val="24"/>
        </w:rPr>
        <w:t>meaning</w:t>
      </w:r>
      <w:r w:rsidRPr="009773BF">
        <w:rPr>
          <w:rFonts w:eastAsia="Calibri" w:cstheme="minorHAnsi"/>
          <w:szCs w:val="24"/>
        </w:rPr>
        <w:t xml:space="preserve"> of the various terms used to describe the operation of the electricity supply system will help in understanding the data discussed. </w:t>
      </w:r>
    </w:p>
    <w:p w14:paraId="7F2E737D" w14:textId="363DF28A" w:rsidR="00481536" w:rsidRPr="009773BF" w:rsidRDefault="00213A96">
      <w:pPr>
        <w:rPr>
          <w:rFonts w:eastAsia="Calibri" w:cstheme="minorHAnsi"/>
          <w:szCs w:val="24"/>
        </w:rPr>
      </w:pPr>
      <w:r w:rsidRPr="009773BF">
        <w:rPr>
          <w:rFonts w:eastAsia="Calibri" w:cstheme="minorHAnsi"/>
          <w:szCs w:val="24"/>
        </w:rPr>
        <w:t>Demand, as defined for the purpose of system operation, includes all the electricity required to be supplied through the grid level dispatch process, operated by AEMO.</w:t>
      </w:r>
      <w:r w:rsidR="00992C12" w:rsidRPr="009773BF">
        <w:rPr>
          <w:rFonts w:eastAsia="Calibri" w:cstheme="minorHAnsi"/>
          <w:szCs w:val="24"/>
        </w:rPr>
        <w:t xml:space="preserve"> </w:t>
      </w:r>
      <w:r w:rsidRPr="009773BF">
        <w:rPr>
          <w:rFonts w:eastAsia="Calibri" w:cstheme="minorHAnsi"/>
          <w:szCs w:val="24"/>
        </w:rPr>
        <w:t>This includes all the electricity delivered through the transmission grid to distribution network businesses, for subsequent delivery to consumers.</w:t>
      </w:r>
      <w:r w:rsidR="00992C12" w:rsidRPr="009773BF">
        <w:rPr>
          <w:rFonts w:eastAsia="Calibri" w:cstheme="minorHAnsi"/>
          <w:szCs w:val="24"/>
        </w:rPr>
        <w:t xml:space="preserve"> </w:t>
      </w:r>
      <w:r w:rsidRPr="009773BF">
        <w:rPr>
          <w:rFonts w:eastAsia="Calibri" w:cstheme="minorHAnsi"/>
          <w:szCs w:val="24"/>
        </w:rPr>
        <w:t>It also includes energy losses in the transmission system and auxiliary loads, which are the quantities of electricity consumed by the power stations themselves, mostly in electric motors which power such equipment as pumps, fans, compressors and fuel conveyors. Auxiliary loads are very large: in 2011 they amounted to 6.3% of total electricity generated and currently about 5.6%.</w:t>
      </w:r>
      <w:r w:rsidR="00992C12" w:rsidRPr="009773BF">
        <w:rPr>
          <w:rFonts w:eastAsia="Calibri" w:cstheme="minorHAnsi"/>
          <w:szCs w:val="24"/>
        </w:rPr>
        <w:t xml:space="preserve"> </w:t>
      </w:r>
      <w:r w:rsidRPr="009773BF">
        <w:rPr>
          <w:rFonts w:eastAsia="Calibri" w:cstheme="minorHAnsi"/>
          <w:szCs w:val="24"/>
        </w:rPr>
        <w:t>Most of this load is at coal fired power stations, where it can be as high as 10% of electricity generated at an old brown coal power station and 7% at a black coal fired power station. Auxiliary loads are much lower at gas fired power stations, and close to zero at hydro, wind and solar power stations.</w:t>
      </w:r>
      <w:r w:rsidR="00992C12" w:rsidRPr="009773BF">
        <w:rPr>
          <w:rFonts w:eastAsia="Calibri" w:cstheme="minorHAnsi"/>
          <w:szCs w:val="24"/>
        </w:rPr>
        <w:t xml:space="preserve"> </w:t>
      </w:r>
      <w:r w:rsidRPr="009773BF">
        <w:rPr>
          <w:rFonts w:eastAsia="Calibri" w:cstheme="minorHAnsi"/>
          <w:szCs w:val="24"/>
        </w:rPr>
        <w:t xml:space="preserve">Both demand and generation, as shown in the </w:t>
      </w:r>
      <w:r w:rsidRPr="009773BF">
        <w:rPr>
          <w:rFonts w:eastAsia="Calibri" w:cstheme="minorHAnsi"/>
          <w:i/>
          <w:szCs w:val="24"/>
        </w:rPr>
        <w:t>Electricity Update</w:t>
      </w:r>
      <w:r w:rsidRPr="009773BF">
        <w:rPr>
          <w:rFonts w:eastAsia="Calibri" w:cstheme="minorHAnsi"/>
          <w:szCs w:val="24"/>
        </w:rPr>
        <w:t xml:space="preserve"> graphs, are adjusted by subtracting estimates of auxiliary loads. Thus demand, as shown, is equal to electricity supplied to distribution networks (and a handful of very large users that are connected directly to the transmission grid) plus transmission losses.</w:t>
      </w:r>
    </w:p>
    <w:p w14:paraId="34118935" w14:textId="11FA3AEA" w:rsidR="00481536" w:rsidRPr="009773BF" w:rsidRDefault="00213A96">
      <w:pPr>
        <w:rPr>
          <w:rFonts w:eastAsia="Calibri" w:cstheme="minorHAnsi"/>
          <w:szCs w:val="24"/>
        </w:rPr>
      </w:pPr>
      <w:r w:rsidRPr="009773BF">
        <w:rPr>
          <w:rFonts w:eastAsia="Calibri" w:cstheme="minorHAnsi"/>
          <w:szCs w:val="24"/>
        </w:rPr>
        <w:t xml:space="preserve">Generation is similarly defined to include only electricity supplied by large generators connected to the transmission grid. It does not include electricity generated by rooftop PV installed by electricity consumers, irrespective of whether that electricity is used on-site (“behind the meter”) by the consumer or exported into the local distribution network. From the perspective of the supply system as a whole, the effect of this generation, usually termed either “embedded” or “distributed” generation, is to reduce the demand for grid supplied electricity below the level it would reach without such distributed generation. That effect can be clearly seen in the regular total </w:t>
      </w:r>
      <w:r w:rsidRPr="009773BF">
        <w:rPr>
          <w:rFonts w:eastAsia="Calibri" w:cstheme="minorHAnsi"/>
          <w:szCs w:val="24"/>
        </w:rPr>
        <w:lastRenderedPageBreak/>
        <w:t>generation graph; the gap between the red line – electricity sent out to the grid from large grid connected power stations – and the yellow line – that electricity plus estimated electricity generated by distributed solar systems – is the electr</w:t>
      </w:r>
      <w:r w:rsidR="00F50AC2" w:rsidRPr="009773BF">
        <w:rPr>
          <w:rFonts w:eastAsia="Calibri" w:cstheme="minorHAnsi"/>
          <w:szCs w:val="24"/>
        </w:rPr>
        <w:t>icity supplied by those systems.</w:t>
      </w:r>
      <w:r w:rsidRPr="009773BF">
        <w:rPr>
          <w:rFonts w:eastAsia="Calibri" w:cstheme="minorHAnsi"/>
          <w:szCs w:val="24"/>
        </w:rPr>
        <w:t xml:space="preserve"> </w:t>
      </w:r>
    </w:p>
    <w:sectPr w:rsidR="00481536" w:rsidRPr="009773BF" w:rsidSect="006D0C58">
      <w:footerReference w:type="even" r:id="rId23"/>
      <w:footerReference w:type="default" r:id="rId24"/>
      <w:pgSz w:w="11906" w:h="16838"/>
      <w:pgMar w:top="1276" w:right="1700" w:bottom="1276" w:left="1701" w:header="567"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53D9" w14:textId="77777777" w:rsidR="00F73445" w:rsidRDefault="00F73445" w:rsidP="00481536">
      <w:pPr>
        <w:spacing w:after="0" w:line="240" w:lineRule="auto"/>
      </w:pPr>
      <w:r>
        <w:separator/>
      </w:r>
    </w:p>
  </w:endnote>
  <w:endnote w:type="continuationSeparator" w:id="0">
    <w:p w14:paraId="5F6E858D" w14:textId="77777777" w:rsidR="00F73445" w:rsidRDefault="00F73445" w:rsidP="0048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ill Sans SemiBold">
    <w:altName w:val="Segoe UI Semibold"/>
    <w:charset w:val="00"/>
    <w:family w:val="auto"/>
    <w:pitch w:val="variable"/>
    <w:sig w:usb0="00000001" w:usb1="5000004A"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2F99" w14:textId="77777777" w:rsidR="008C675C" w:rsidRDefault="008C675C" w:rsidP="007F0DF9">
    <w:pPr>
      <w:pStyle w:val="Footer"/>
      <w:framePr w:wrap="none" w:vAnchor="text" w:hAnchor="margin" w:xAlign="right" w:y="1"/>
      <w:rPr>
        <w:rStyle w:val="PageNumber"/>
      </w:rPr>
    </w:pPr>
    <w:r>
      <w:rPr>
        <w:rStyle w:val="PageNumber"/>
      </w:rPr>
      <w:fldChar w:fldCharType="begin"/>
    </w:r>
    <w:r w:rsidRPr="00541422">
      <w:rPr>
        <w:rStyle w:val="PageNumber"/>
      </w:rPr>
      <w:instrText xml:space="preserve">PAGE  </w:instrText>
    </w:r>
    <w:r>
      <w:rPr>
        <w:rStyle w:val="PageNumber"/>
      </w:rPr>
      <w:fldChar w:fldCharType="end"/>
    </w:r>
  </w:p>
  <w:p w14:paraId="179DDBD9" w14:textId="77777777" w:rsidR="008C675C" w:rsidRDefault="008C675C" w:rsidP="00541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A398" w14:textId="77777777" w:rsidR="008C675C" w:rsidRDefault="008C675C" w:rsidP="000D3A9B">
    <w:pPr>
      <w:pStyle w:val="Footer"/>
      <w:framePr w:wrap="none" w:vAnchor="text" w:hAnchor="page" w:x="10923" w:y="-592"/>
      <w:rPr>
        <w:rStyle w:val="PageNumber"/>
      </w:rPr>
    </w:pPr>
    <w:r>
      <w:rPr>
        <w:rStyle w:val="PageNumber"/>
      </w:rPr>
      <w:fldChar w:fldCharType="begin"/>
    </w:r>
    <w:r w:rsidRPr="00541422">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494D38F" w14:textId="77777777" w:rsidR="008C675C" w:rsidRDefault="008C675C" w:rsidP="008372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4CAF" w14:textId="77777777" w:rsidR="00F73445" w:rsidRDefault="00F73445">
      <w:r>
        <w:separator/>
      </w:r>
    </w:p>
  </w:footnote>
  <w:footnote w:type="continuationSeparator" w:id="0">
    <w:p w14:paraId="42732F97" w14:textId="77777777" w:rsidR="00F73445" w:rsidRDefault="00F7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72"/>
    <w:multiLevelType w:val="hybridMultilevel"/>
    <w:tmpl w:val="E8E2B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848C9"/>
    <w:multiLevelType w:val="hybridMultilevel"/>
    <w:tmpl w:val="0A7EB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2121D"/>
    <w:multiLevelType w:val="hybridMultilevel"/>
    <w:tmpl w:val="12B40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83C7D"/>
    <w:multiLevelType w:val="hybridMultilevel"/>
    <w:tmpl w:val="A5A07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E308DB"/>
    <w:multiLevelType w:val="hybridMultilevel"/>
    <w:tmpl w:val="C8A8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73256"/>
    <w:multiLevelType w:val="hybridMultilevel"/>
    <w:tmpl w:val="AD809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429A5"/>
    <w:multiLevelType w:val="hybridMultilevel"/>
    <w:tmpl w:val="A3AEC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75A0D"/>
    <w:multiLevelType w:val="multilevel"/>
    <w:tmpl w:val="D0BA0D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D56001D"/>
    <w:multiLevelType w:val="hybridMultilevel"/>
    <w:tmpl w:val="49FEFD1C"/>
    <w:lvl w:ilvl="0" w:tplc="B48E26C6">
      <w:start w:val="16"/>
      <w:numFmt w:val="bullet"/>
      <w:lvlText w:val="+"/>
      <w:lvlJc w:val="left"/>
      <w:pPr>
        <w:ind w:left="644" w:hanging="360"/>
      </w:pPr>
      <w:rPr>
        <w:rFonts w:ascii="Calibri" w:eastAsiaTheme="minorHAnsi" w:hAnsi="Calibri" w:cstheme="minorBidi" w:hint="default"/>
        <w:color w:val="FF5E00" w:themeColor="accent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852C10"/>
    <w:multiLevelType w:val="hybridMultilevel"/>
    <w:tmpl w:val="29366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5B709F"/>
    <w:multiLevelType w:val="hybridMultilevel"/>
    <w:tmpl w:val="A9362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C708BC"/>
    <w:multiLevelType w:val="hybridMultilevel"/>
    <w:tmpl w:val="7338C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C5C37"/>
    <w:multiLevelType w:val="hybridMultilevel"/>
    <w:tmpl w:val="C88E9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182D91"/>
    <w:multiLevelType w:val="hybridMultilevel"/>
    <w:tmpl w:val="A3405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7E01E7"/>
    <w:multiLevelType w:val="hybridMultilevel"/>
    <w:tmpl w:val="4306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577071"/>
    <w:multiLevelType w:val="hybridMultilevel"/>
    <w:tmpl w:val="E4E85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394559"/>
    <w:multiLevelType w:val="hybridMultilevel"/>
    <w:tmpl w:val="3F842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930171"/>
    <w:multiLevelType w:val="hybridMultilevel"/>
    <w:tmpl w:val="02EA4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10D44AA"/>
    <w:multiLevelType w:val="multilevel"/>
    <w:tmpl w:val="F2625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7"/>
  </w:num>
  <w:num w:numId="3">
    <w:abstractNumId w:val="12"/>
  </w:num>
  <w:num w:numId="4">
    <w:abstractNumId w:val="2"/>
  </w:num>
  <w:num w:numId="5">
    <w:abstractNumId w:val="8"/>
  </w:num>
  <w:num w:numId="6">
    <w:abstractNumId w:val="16"/>
  </w:num>
  <w:num w:numId="7">
    <w:abstractNumId w:val="15"/>
  </w:num>
  <w:num w:numId="8">
    <w:abstractNumId w:val="17"/>
  </w:num>
  <w:num w:numId="9">
    <w:abstractNumId w:val="9"/>
  </w:num>
  <w:num w:numId="10">
    <w:abstractNumId w:val="4"/>
  </w:num>
  <w:num w:numId="11">
    <w:abstractNumId w:val="5"/>
  </w:num>
  <w:num w:numId="12">
    <w:abstractNumId w:val="8"/>
  </w:num>
  <w:num w:numId="13">
    <w:abstractNumId w:val="10"/>
  </w:num>
  <w:num w:numId="14">
    <w:abstractNumId w:val="11"/>
  </w:num>
  <w:num w:numId="15">
    <w:abstractNumId w:val="1"/>
  </w:num>
  <w:num w:numId="16">
    <w:abstractNumId w:val="13"/>
  </w:num>
  <w:num w:numId="17">
    <w:abstractNumId w:val="3"/>
  </w:num>
  <w:num w:numId="18">
    <w:abstractNumId w:val="0"/>
  </w:num>
  <w:num w:numId="19">
    <w:abstractNumId w:val="6"/>
  </w:num>
  <w:num w:numId="20">
    <w:abstractNumId w:val="14"/>
  </w:num>
  <w:num w:numId="2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36"/>
    <w:rsid w:val="00000658"/>
    <w:rsid w:val="00000E99"/>
    <w:rsid w:val="00002350"/>
    <w:rsid w:val="000026D9"/>
    <w:rsid w:val="0000338B"/>
    <w:rsid w:val="00004BF1"/>
    <w:rsid w:val="00007163"/>
    <w:rsid w:val="00007FBD"/>
    <w:rsid w:val="00010047"/>
    <w:rsid w:val="000102A6"/>
    <w:rsid w:val="00010899"/>
    <w:rsid w:val="000109A6"/>
    <w:rsid w:val="000110EB"/>
    <w:rsid w:val="000112D9"/>
    <w:rsid w:val="000116FB"/>
    <w:rsid w:val="00011742"/>
    <w:rsid w:val="00012DE8"/>
    <w:rsid w:val="000139F8"/>
    <w:rsid w:val="00014FD0"/>
    <w:rsid w:val="000156BB"/>
    <w:rsid w:val="00015D3C"/>
    <w:rsid w:val="00016334"/>
    <w:rsid w:val="000171D9"/>
    <w:rsid w:val="000172A3"/>
    <w:rsid w:val="0001765A"/>
    <w:rsid w:val="00020591"/>
    <w:rsid w:val="000262BB"/>
    <w:rsid w:val="00026310"/>
    <w:rsid w:val="000266CC"/>
    <w:rsid w:val="00026B8D"/>
    <w:rsid w:val="00030330"/>
    <w:rsid w:val="000311DE"/>
    <w:rsid w:val="000314A8"/>
    <w:rsid w:val="00032FED"/>
    <w:rsid w:val="000332AA"/>
    <w:rsid w:val="00033A13"/>
    <w:rsid w:val="00034015"/>
    <w:rsid w:val="000341E0"/>
    <w:rsid w:val="00034EC5"/>
    <w:rsid w:val="00034F1B"/>
    <w:rsid w:val="0003794A"/>
    <w:rsid w:val="00040625"/>
    <w:rsid w:val="0004082D"/>
    <w:rsid w:val="00040B22"/>
    <w:rsid w:val="00042F5A"/>
    <w:rsid w:val="000431A4"/>
    <w:rsid w:val="000433B6"/>
    <w:rsid w:val="0004370E"/>
    <w:rsid w:val="00044B3E"/>
    <w:rsid w:val="00044F3B"/>
    <w:rsid w:val="00045B8F"/>
    <w:rsid w:val="000473D2"/>
    <w:rsid w:val="00050DA1"/>
    <w:rsid w:val="00051D1E"/>
    <w:rsid w:val="000520D8"/>
    <w:rsid w:val="000523DF"/>
    <w:rsid w:val="00054403"/>
    <w:rsid w:val="00054510"/>
    <w:rsid w:val="00054E51"/>
    <w:rsid w:val="00055522"/>
    <w:rsid w:val="00056BB5"/>
    <w:rsid w:val="00057240"/>
    <w:rsid w:val="000616CC"/>
    <w:rsid w:val="00061ABE"/>
    <w:rsid w:val="00061DBC"/>
    <w:rsid w:val="00062071"/>
    <w:rsid w:val="000621BF"/>
    <w:rsid w:val="00063385"/>
    <w:rsid w:val="0006438A"/>
    <w:rsid w:val="000658A1"/>
    <w:rsid w:val="00065C17"/>
    <w:rsid w:val="00066848"/>
    <w:rsid w:val="00067D20"/>
    <w:rsid w:val="0007143E"/>
    <w:rsid w:val="00072F8C"/>
    <w:rsid w:val="00073501"/>
    <w:rsid w:val="000738A4"/>
    <w:rsid w:val="00074474"/>
    <w:rsid w:val="00074B13"/>
    <w:rsid w:val="00074C4D"/>
    <w:rsid w:val="0008030A"/>
    <w:rsid w:val="00080A0B"/>
    <w:rsid w:val="000847AF"/>
    <w:rsid w:val="00085A4B"/>
    <w:rsid w:val="000867BF"/>
    <w:rsid w:val="000871BB"/>
    <w:rsid w:val="00090F39"/>
    <w:rsid w:val="00091FDD"/>
    <w:rsid w:val="00094637"/>
    <w:rsid w:val="000946B7"/>
    <w:rsid w:val="00094B4D"/>
    <w:rsid w:val="00094DAB"/>
    <w:rsid w:val="0009531D"/>
    <w:rsid w:val="000955DC"/>
    <w:rsid w:val="00095E9F"/>
    <w:rsid w:val="00096FB9"/>
    <w:rsid w:val="000A04FE"/>
    <w:rsid w:val="000A148B"/>
    <w:rsid w:val="000A14B6"/>
    <w:rsid w:val="000A2D2E"/>
    <w:rsid w:val="000A3ABD"/>
    <w:rsid w:val="000A449E"/>
    <w:rsid w:val="000A530D"/>
    <w:rsid w:val="000A5F9D"/>
    <w:rsid w:val="000A658C"/>
    <w:rsid w:val="000A71C0"/>
    <w:rsid w:val="000A7946"/>
    <w:rsid w:val="000B0ABD"/>
    <w:rsid w:val="000B14F1"/>
    <w:rsid w:val="000B1EBC"/>
    <w:rsid w:val="000B29BA"/>
    <w:rsid w:val="000B2BBC"/>
    <w:rsid w:val="000B33AA"/>
    <w:rsid w:val="000B38BE"/>
    <w:rsid w:val="000B482E"/>
    <w:rsid w:val="000B6F1C"/>
    <w:rsid w:val="000C1568"/>
    <w:rsid w:val="000C210F"/>
    <w:rsid w:val="000C2FE5"/>
    <w:rsid w:val="000C43AE"/>
    <w:rsid w:val="000C45A7"/>
    <w:rsid w:val="000C479D"/>
    <w:rsid w:val="000C4E00"/>
    <w:rsid w:val="000C643C"/>
    <w:rsid w:val="000D12CE"/>
    <w:rsid w:val="000D2738"/>
    <w:rsid w:val="000D3A9B"/>
    <w:rsid w:val="000D5413"/>
    <w:rsid w:val="000D5BD5"/>
    <w:rsid w:val="000D60DC"/>
    <w:rsid w:val="000D6184"/>
    <w:rsid w:val="000E1B4B"/>
    <w:rsid w:val="000E3678"/>
    <w:rsid w:val="000E3B34"/>
    <w:rsid w:val="000E4C8F"/>
    <w:rsid w:val="000E50CB"/>
    <w:rsid w:val="000E53C7"/>
    <w:rsid w:val="000E7FC5"/>
    <w:rsid w:val="000F086D"/>
    <w:rsid w:val="000F1776"/>
    <w:rsid w:val="000F3A24"/>
    <w:rsid w:val="000F3B4F"/>
    <w:rsid w:val="000F3F9F"/>
    <w:rsid w:val="000F5D48"/>
    <w:rsid w:val="000F69D4"/>
    <w:rsid w:val="000F75DE"/>
    <w:rsid w:val="0010210A"/>
    <w:rsid w:val="00102B3C"/>
    <w:rsid w:val="0010306A"/>
    <w:rsid w:val="00103AE7"/>
    <w:rsid w:val="00103D95"/>
    <w:rsid w:val="00106411"/>
    <w:rsid w:val="001068E5"/>
    <w:rsid w:val="001076C5"/>
    <w:rsid w:val="00107AAE"/>
    <w:rsid w:val="00110D6E"/>
    <w:rsid w:val="0011118A"/>
    <w:rsid w:val="00111CAE"/>
    <w:rsid w:val="001121EF"/>
    <w:rsid w:val="00113037"/>
    <w:rsid w:val="001136E2"/>
    <w:rsid w:val="00113B12"/>
    <w:rsid w:val="00116A41"/>
    <w:rsid w:val="001176AC"/>
    <w:rsid w:val="001177B6"/>
    <w:rsid w:val="0012009E"/>
    <w:rsid w:val="001207F2"/>
    <w:rsid w:val="00120AC8"/>
    <w:rsid w:val="00120EBC"/>
    <w:rsid w:val="00122536"/>
    <w:rsid w:val="001234FE"/>
    <w:rsid w:val="001239F9"/>
    <w:rsid w:val="001240C0"/>
    <w:rsid w:val="0012528E"/>
    <w:rsid w:val="00126CC4"/>
    <w:rsid w:val="001276F5"/>
    <w:rsid w:val="00130212"/>
    <w:rsid w:val="00131BE7"/>
    <w:rsid w:val="00131FD0"/>
    <w:rsid w:val="00131FE3"/>
    <w:rsid w:val="00135C0D"/>
    <w:rsid w:val="00135E6E"/>
    <w:rsid w:val="00136C0A"/>
    <w:rsid w:val="001404D2"/>
    <w:rsid w:val="001413FA"/>
    <w:rsid w:val="00142E29"/>
    <w:rsid w:val="00146845"/>
    <w:rsid w:val="00151004"/>
    <w:rsid w:val="001537E0"/>
    <w:rsid w:val="00153BF4"/>
    <w:rsid w:val="00153EE0"/>
    <w:rsid w:val="0015757B"/>
    <w:rsid w:val="00157DDF"/>
    <w:rsid w:val="00157E2E"/>
    <w:rsid w:val="00160292"/>
    <w:rsid w:val="00160403"/>
    <w:rsid w:val="00160B45"/>
    <w:rsid w:val="00161869"/>
    <w:rsid w:val="00161E37"/>
    <w:rsid w:val="001642A6"/>
    <w:rsid w:val="00164D57"/>
    <w:rsid w:val="00167B50"/>
    <w:rsid w:val="00170658"/>
    <w:rsid w:val="0017206A"/>
    <w:rsid w:val="001726BF"/>
    <w:rsid w:val="00172CD5"/>
    <w:rsid w:val="00174667"/>
    <w:rsid w:val="00174FC4"/>
    <w:rsid w:val="00175C71"/>
    <w:rsid w:val="001760C4"/>
    <w:rsid w:val="00176678"/>
    <w:rsid w:val="001771BE"/>
    <w:rsid w:val="00177302"/>
    <w:rsid w:val="0018093B"/>
    <w:rsid w:val="00181C0F"/>
    <w:rsid w:val="00182AA4"/>
    <w:rsid w:val="00182ADB"/>
    <w:rsid w:val="001831F0"/>
    <w:rsid w:val="00183B52"/>
    <w:rsid w:val="001846EB"/>
    <w:rsid w:val="0018474F"/>
    <w:rsid w:val="00186ED9"/>
    <w:rsid w:val="00187063"/>
    <w:rsid w:val="00187DE6"/>
    <w:rsid w:val="00190ACC"/>
    <w:rsid w:val="00191928"/>
    <w:rsid w:val="00191ABF"/>
    <w:rsid w:val="00194B96"/>
    <w:rsid w:val="00195FA1"/>
    <w:rsid w:val="001A0E7F"/>
    <w:rsid w:val="001A0F16"/>
    <w:rsid w:val="001A2A11"/>
    <w:rsid w:val="001A2DC6"/>
    <w:rsid w:val="001A33AB"/>
    <w:rsid w:val="001A5EEC"/>
    <w:rsid w:val="001B00BC"/>
    <w:rsid w:val="001B076D"/>
    <w:rsid w:val="001B1B94"/>
    <w:rsid w:val="001B1CE2"/>
    <w:rsid w:val="001B1FAF"/>
    <w:rsid w:val="001B2B1A"/>
    <w:rsid w:val="001B6CC8"/>
    <w:rsid w:val="001B7289"/>
    <w:rsid w:val="001C0C5B"/>
    <w:rsid w:val="001C0DAA"/>
    <w:rsid w:val="001C0F5D"/>
    <w:rsid w:val="001C22D8"/>
    <w:rsid w:val="001C26D4"/>
    <w:rsid w:val="001C2E36"/>
    <w:rsid w:val="001C5E9A"/>
    <w:rsid w:val="001C6219"/>
    <w:rsid w:val="001C6706"/>
    <w:rsid w:val="001C6A3B"/>
    <w:rsid w:val="001C74DE"/>
    <w:rsid w:val="001C7CE8"/>
    <w:rsid w:val="001D1693"/>
    <w:rsid w:val="001D29F1"/>
    <w:rsid w:val="001D2C4B"/>
    <w:rsid w:val="001D37C0"/>
    <w:rsid w:val="001D5366"/>
    <w:rsid w:val="001D7E88"/>
    <w:rsid w:val="001E17FE"/>
    <w:rsid w:val="001E1D34"/>
    <w:rsid w:val="001E41F7"/>
    <w:rsid w:val="001E4EB6"/>
    <w:rsid w:val="001E5422"/>
    <w:rsid w:val="001E76D2"/>
    <w:rsid w:val="001E7F28"/>
    <w:rsid w:val="001F008C"/>
    <w:rsid w:val="001F1A82"/>
    <w:rsid w:val="001F28EC"/>
    <w:rsid w:val="001F33ED"/>
    <w:rsid w:val="001F4D39"/>
    <w:rsid w:val="001F5779"/>
    <w:rsid w:val="001F6714"/>
    <w:rsid w:val="001F6F63"/>
    <w:rsid w:val="00200254"/>
    <w:rsid w:val="00202E41"/>
    <w:rsid w:val="00203795"/>
    <w:rsid w:val="002065CC"/>
    <w:rsid w:val="00206641"/>
    <w:rsid w:val="00207D71"/>
    <w:rsid w:val="00211602"/>
    <w:rsid w:val="00211B39"/>
    <w:rsid w:val="0021231E"/>
    <w:rsid w:val="00212E76"/>
    <w:rsid w:val="00213A96"/>
    <w:rsid w:val="0021453B"/>
    <w:rsid w:val="00214FDB"/>
    <w:rsid w:val="00215F1C"/>
    <w:rsid w:val="00216EA2"/>
    <w:rsid w:val="0022062A"/>
    <w:rsid w:val="0022140F"/>
    <w:rsid w:val="00221802"/>
    <w:rsid w:val="0022274D"/>
    <w:rsid w:val="00222915"/>
    <w:rsid w:val="00223FDB"/>
    <w:rsid w:val="00226F45"/>
    <w:rsid w:val="0023112C"/>
    <w:rsid w:val="00231816"/>
    <w:rsid w:val="00231FB3"/>
    <w:rsid w:val="00233981"/>
    <w:rsid w:val="00233E9A"/>
    <w:rsid w:val="00234199"/>
    <w:rsid w:val="002361A7"/>
    <w:rsid w:val="00236602"/>
    <w:rsid w:val="002367AE"/>
    <w:rsid w:val="0024296F"/>
    <w:rsid w:val="002441B1"/>
    <w:rsid w:val="00245168"/>
    <w:rsid w:val="00245C74"/>
    <w:rsid w:val="00245D4F"/>
    <w:rsid w:val="00245EFE"/>
    <w:rsid w:val="002466C4"/>
    <w:rsid w:val="002471F6"/>
    <w:rsid w:val="00247CA1"/>
    <w:rsid w:val="0025019E"/>
    <w:rsid w:val="00250336"/>
    <w:rsid w:val="0025149E"/>
    <w:rsid w:val="00252243"/>
    <w:rsid w:val="00254D2E"/>
    <w:rsid w:val="00256A97"/>
    <w:rsid w:val="0025755C"/>
    <w:rsid w:val="00261441"/>
    <w:rsid w:val="00261E2F"/>
    <w:rsid w:val="002621AD"/>
    <w:rsid w:val="00263D42"/>
    <w:rsid w:val="002641A1"/>
    <w:rsid w:val="00266226"/>
    <w:rsid w:val="00266ABB"/>
    <w:rsid w:val="00266AFB"/>
    <w:rsid w:val="002705C7"/>
    <w:rsid w:val="002708B9"/>
    <w:rsid w:val="00270CDC"/>
    <w:rsid w:val="0027127B"/>
    <w:rsid w:val="002712EC"/>
    <w:rsid w:val="002723D4"/>
    <w:rsid w:val="00272577"/>
    <w:rsid w:val="00273AE4"/>
    <w:rsid w:val="0027728A"/>
    <w:rsid w:val="002805F2"/>
    <w:rsid w:val="00281708"/>
    <w:rsid w:val="00281B31"/>
    <w:rsid w:val="002831E6"/>
    <w:rsid w:val="0028526A"/>
    <w:rsid w:val="00285E12"/>
    <w:rsid w:val="00286079"/>
    <w:rsid w:val="002870E7"/>
    <w:rsid w:val="002903FA"/>
    <w:rsid w:val="002939C2"/>
    <w:rsid w:val="00293C07"/>
    <w:rsid w:val="002942DF"/>
    <w:rsid w:val="0029588C"/>
    <w:rsid w:val="00295A63"/>
    <w:rsid w:val="00295BD1"/>
    <w:rsid w:val="002964C4"/>
    <w:rsid w:val="00297ED7"/>
    <w:rsid w:val="002A1DBE"/>
    <w:rsid w:val="002A1FCB"/>
    <w:rsid w:val="002A237D"/>
    <w:rsid w:val="002A24E7"/>
    <w:rsid w:val="002A25CD"/>
    <w:rsid w:val="002A3071"/>
    <w:rsid w:val="002A320A"/>
    <w:rsid w:val="002A3667"/>
    <w:rsid w:val="002A48C9"/>
    <w:rsid w:val="002A5858"/>
    <w:rsid w:val="002A64B5"/>
    <w:rsid w:val="002A7A37"/>
    <w:rsid w:val="002A7D67"/>
    <w:rsid w:val="002A7ECD"/>
    <w:rsid w:val="002B096E"/>
    <w:rsid w:val="002B0F50"/>
    <w:rsid w:val="002B208D"/>
    <w:rsid w:val="002B3EC5"/>
    <w:rsid w:val="002B49FE"/>
    <w:rsid w:val="002B4ED8"/>
    <w:rsid w:val="002B5C15"/>
    <w:rsid w:val="002C086E"/>
    <w:rsid w:val="002C105E"/>
    <w:rsid w:val="002C26FC"/>
    <w:rsid w:val="002C4501"/>
    <w:rsid w:val="002C5882"/>
    <w:rsid w:val="002C658A"/>
    <w:rsid w:val="002C65ED"/>
    <w:rsid w:val="002C6631"/>
    <w:rsid w:val="002C6688"/>
    <w:rsid w:val="002C7614"/>
    <w:rsid w:val="002D05B3"/>
    <w:rsid w:val="002D05EA"/>
    <w:rsid w:val="002D0EF7"/>
    <w:rsid w:val="002D1329"/>
    <w:rsid w:val="002D28F9"/>
    <w:rsid w:val="002D297F"/>
    <w:rsid w:val="002D3F2F"/>
    <w:rsid w:val="002D43A4"/>
    <w:rsid w:val="002D48EF"/>
    <w:rsid w:val="002D4EB4"/>
    <w:rsid w:val="002D61E7"/>
    <w:rsid w:val="002D63B9"/>
    <w:rsid w:val="002D6C93"/>
    <w:rsid w:val="002D7084"/>
    <w:rsid w:val="002D7C5B"/>
    <w:rsid w:val="002E0AB3"/>
    <w:rsid w:val="002E10E1"/>
    <w:rsid w:val="002E1323"/>
    <w:rsid w:val="002E139A"/>
    <w:rsid w:val="002E4735"/>
    <w:rsid w:val="002E48E3"/>
    <w:rsid w:val="002E59DD"/>
    <w:rsid w:val="002E5A4C"/>
    <w:rsid w:val="002F05C7"/>
    <w:rsid w:val="002F619E"/>
    <w:rsid w:val="002F6CE3"/>
    <w:rsid w:val="002F7C79"/>
    <w:rsid w:val="003017C4"/>
    <w:rsid w:val="00301815"/>
    <w:rsid w:val="0030189C"/>
    <w:rsid w:val="00302C61"/>
    <w:rsid w:val="0030336E"/>
    <w:rsid w:val="00304F0B"/>
    <w:rsid w:val="00305F7C"/>
    <w:rsid w:val="0030654C"/>
    <w:rsid w:val="003068C6"/>
    <w:rsid w:val="00307369"/>
    <w:rsid w:val="003079F9"/>
    <w:rsid w:val="00310F38"/>
    <w:rsid w:val="00312F06"/>
    <w:rsid w:val="00314720"/>
    <w:rsid w:val="00314D0E"/>
    <w:rsid w:val="003155C6"/>
    <w:rsid w:val="003165BE"/>
    <w:rsid w:val="003173D6"/>
    <w:rsid w:val="0032009D"/>
    <w:rsid w:val="00323C13"/>
    <w:rsid w:val="00323F43"/>
    <w:rsid w:val="003240E3"/>
    <w:rsid w:val="0032462E"/>
    <w:rsid w:val="0032556C"/>
    <w:rsid w:val="00325618"/>
    <w:rsid w:val="003269CD"/>
    <w:rsid w:val="0032716C"/>
    <w:rsid w:val="0032750F"/>
    <w:rsid w:val="0032779F"/>
    <w:rsid w:val="00330959"/>
    <w:rsid w:val="003313CB"/>
    <w:rsid w:val="00332745"/>
    <w:rsid w:val="003331A8"/>
    <w:rsid w:val="0033396F"/>
    <w:rsid w:val="003348A0"/>
    <w:rsid w:val="00335312"/>
    <w:rsid w:val="00336492"/>
    <w:rsid w:val="00337790"/>
    <w:rsid w:val="00340229"/>
    <w:rsid w:val="0034022D"/>
    <w:rsid w:val="00340786"/>
    <w:rsid w:val="00340DA6"/>
    <w:rsid w:val="0034156B"/>
    <w:rsid w:val="0034210E"/>
    <w:rsid w:val="003424AA"/>
    <w:rsid w:val="00343859"/>
    <w:rsid w:val="00343A5D"/>
    <w:rsid w:val="00343D82"/>
    <w:rsid w:val="003456B5"/>
    <w:rsid w:val="00345BC8"/>
    <w:rsid w:val="00346E19"/>
    <w:rsid w:val="003477DB"/>
    <w:rsid w:val="003514CA"/>
    <w:rsid w:val="0035225D"/>
    <w:rsid w:val="0035458A"/>
    <w:rsid w:val="00354A13"/>
    <w:rsid w:val="00354B47"/>
    <w:rsid w:val="00357E5D"/>
    <w:rsid w:val="00360D2F"/>
    <w:rsid w:val="0036205D"/>
    <w:rsid w:val="00362FCD"/>
    <w:rsid w:val="00363048"/>
    <w:rsid w:val="0036413E"/>
    <w:rsid w:val="003641DA"/>
    <w:rsid w:val="00365BB9"/>
    <w:rsid w:val="00365FE0"/>
    <w:rsid w:val="00366022"/>
    <w:rsid w:val="003667C4"/>
    <w:rsid w:val="0036686B"/>
    <w:rsid w:val="00366951"/>
    <w:rsid w:val="00366C1F"/>
    <w:rsid w:val="00366F69"/>
    <w:rsid w:val="00367B9D"/>
    <w:rsid w:val="00370FC4"/>
    <w:rsid w:val="00371192"/>
    <w:rsid w:val="003738D1"/>
    <w:rsid w:val="00375A8B"/>
    <w:rsid w:val="00375D79"/>
    <w:rsid w:val="00376898"/>
    <w:rsid w:val="0038212E"/>
    <w:rsid w:val="00384264"/>
    <w:rsid w:val="00385B35"/>
    <w:rsid w:val="00386B35"/>
    <w:rsid w:val="00390C6A"/>
    <w:rsid w:val="0039167A"/>
    <w:rsid w:val="00392C05"/>
    <w:rsid w:val="00394370"/>
    <w:rsid w:val="00394AA8"/>
    <w:rsid w:val="003954B1"/>
    <w:rsid w:val="00395C32"/>
    <w:rsid w:val="00396104"/>
    <w:rsid w:val="003972CD"/>
    <w:rsid w:val="003A11BE"/>
    <w:rsid w:val="003A1405"/>
    <w:rsid w:val="003A28E4"/>
    <w:rsid w:val="003A4495"/>
    <w:rsid w:val="003A58A4"/>
    <w:rsid w:val="003B382C"/>
    <w:rsid w:val="003B4116"/>
    <w:rsid w:val="003B43F2"/>
    <w:rsid w:val="003B443B"/>
    <w:rsid w:val="003B493B"/>
    <w:rsid w:val="003B5225"/>
    <w:rsid w:val="003B5581"/>
    <w:rsid w:val="003B591F"/>
    <w:rsid w:val="003C09A4"/>
    <w:rsid w:val="003C270B"/>
    <w:rsid w:val="003C367F"/>
    <w:rsid w:val="003C5ED6"/>
    <w:rsid w:val="003C63F5"/>
    <w:rsid w:val="003C69CE"/>
    <w:rsid w:val="003C79C1"/>
    <w:rsid w:val="003C7EDF"/>
    <w:rsid w:val="003D015C"/>
    <w:rsid w:val="003D345A"/>
    <w:rsid w:val="003D66EC"/>
    <w:rsid w:val="003D6997"/>
    <w:rsid w:val="003D6FCF"/>
    <w:rsid w:val="003D77C8"/>
    <w:rsid w:val="003E170A"/>
    <w:rsid w:val="003E39E1"/>
    <w:rsid w:val="003E4153"/>
    <w:rsid w:val="003E6281"/>
    <w:rsid w:val="003E64DC"/>
    <w:rsid w:val="003F155F"/>
    <w:rsid w:val="003F18D4"/>
    <w:rsid w:val="003F1B7C"/>
    <w:rsid w:val="003F3C5A"/>
    <w:rsid w:val="003F41B5"/>
    <w:rsid w:val="003F4D54"/>
    <w:rsid w:val="003F6389"/>
    <w:rsid w:val="003F64EE"/>
    <w:rsid w:val="003F6E55"/>
    <w:rsid w:val="003F735E"/>
    <w:rsid w:val="003F7372"/>
    <w:rsid w:val="0040237B"/>
    <w:rsid w:val="00403582"/>
    <w:rsid w:val="00403B93"/>
    <w:rsid w:val="00405A29"/>
    <w:rsid w:val="00410360"/>
    <w:rsid w:val="00410A53"/>
    <w:rsid w:val="004121F6"/>
    <w:rsid w:val="00413455"/>
    <w:rsid w:val="00414249"/>
    <w:rsid w:val="00414993"/>
    <w:rsid w:val="00417740"/>
    <w:rsid w:val="00417DC9"/>
    <w:rsid w:val="00420782"/>
    <w:rsid w:val="00422058"/>
    <w:rsid w:val="00422590"/>
    <w:rsid w:val="004239F2"/>
    <w:rsid w:val="00423E95"/>
    <w:rsid w:val="00424542"/>
    <w:rsid w:val="00424681"/>
    <w:rsid w:val="00424689"/>
    <w:rsid w:val="00424BA4"/>
    <w:rsid w:val="00424DAA"/>
    <w:rsid w:val="00425C1E"/>
    <w:rsid w:val="00426030"/>
    <w:rsid w:val="0042738F"/>
    <w:rsid w:val="00427437"/>
    <w:rsid w:val="004325EE"/>
    <w:rsid w:val="0043345E"/>
    <w:rsid w:val="0043355E"/>
    <w:rsid w:val="004336A8"/>
    <w:rsid w:val="00433BF5"/>
    <w:rsid w:val="004343DC"/>
    <w:rsid w:val="00434877"/>
    <w:rsid w:val="00434AA5"/>
    <w:rsid w:val="004351D1"/>
    <w:rsid w:val="00436560"/>
    <w:rsid w:val="0043764F"/>
    <w:rsid w:val="00443CE2"/>
    <w:rsid w:val="00444EC7"/>
    <w:rsid w:val="004459FD"/>
    <w:rsid w:val="00446D97"/>
    <w:rsid w:val="0044764F"/>
    <w:rsid w:val="00450F0E"/>
    <w:rsid w:val="0045531B"/>
    <w:rsid w:val="00455405"/>
    <w:rsid w:val="004556F6"/>
    <w:rsid w:val="004575E2"/>
    <w:rsid w:val="0046092B"/>
    <w:rsid w:val="0046341D"/>
    <w:rsid w:val="00464169"/>
    <w:rsid w:val="00464FBF"/>
    <w:rsid w:val="00465D7F"/>
    <w:rsid w:val="0046606A"/>
    <w:rsid w:val="00467B76"/>
    <w:rsid w:val="00467B9C"/>
    <w:rsid w:val="00467D4D"/>
    <w:rsid w:val="004726CE"/>
    <w:rsid w:val="00472DF6"/>
    <w:rsid w:val="004740A3"/>
    <w:rsid w:val="004741AE"/>
    <w:rsid w:val="0047476C"/>
    <w:rsid w:val="00475480"/>
    <w:rsid w:val="004766D7"/>
    <w:rsid w:val="00476D80"/>
    <w:rsid w:val="00481536"/>
    <w:rsid w:val="004815A6"/>
    <w:rsid w:val="0048500B"/>
    <w:rsid w:val="00485DA2"/>
    <w:rsid w:val="0048679B"/>
    <w:rsid w:val="00490191"/>
    <w:rsid w:val="00491F4E"/>
    <w:rsid w:val="004933DF"/>
    <w:rsid w:val="004942CC"/>
    <w:rsid w:val="004948DC"/>
    <w:rsid w:val="00494A2B"/>
    <w:rsid w:val="00494E29"/>
    <w:rsid w:val="00495DA7"/>
    <w:rsid w:val="00496983"/>
    <w:rsid w:val="00496BA3"/>
    <w:rsid w:val="004A4D3B"/>
    <w:rsid w:val="004A5E77"/>
    <w:rsid w:val="004A6940"/>
    <w:rsid w:val="004A6D4E"/>
    <w:rsid w:val="004A766E"/>
    <w:rsid w:val="004B018D"/>
    <w:rsid w:val="004B0843"/>
    <w:rsid w:val="004B1049"/>
    <w:rsid w:val="004B18E0"/>
    <w:rsid w:val="004B2601"/>
    <w:rsid w:val="004B2BDC"/>
    <w:rsid w:val="004B3BCE"/>
    <w:rsid w:val="004B5C2C"/>
    <w:rsid w:val="004B6306"/>
    <w:rsid w:val="004B7EB2"/>
    <w:rsid w:val="004C0FDF"/>
    <w:rsid w:val="004C2183"/>
    <w:rsid w:val="004C21A7"/>
    <w:rsid w:val="004C2716"/>
    <w:rsid w:val="004C3665"/>
    <w:rsid w:val="004C3A50"/>
    <w:rsid w:val="004C42AF"/>
    <w:rsid w:val="004C4827"/>
    <w:rsid w:val="004C4A4D"/>
    <w:rsid w:val="004C54F3"/>
    <w:rsid w:val="004C69C0"/>
    <w:rsid w:val="004C6B2B"/>
    <w:rsid w:val="004C782E"/>
    <w:rsid w:val="004D2643"/>
    <w:rsid w:val="004D4E11"/>
    <w:rsid w:val="004D59AB"/>
    <w:rsid w:val="004D5D0A"/>
    <w:rsid w:val="004D6B9C"/>
    <w:rsid w:val="004E0502"/>
    <w:rsid w:val="004E0B46"/>
    <w:rsid w:val="004E2F10"/>
    <w:rsid w:val="004E3E01"/>
    <w:rsid w:val="004E446B"/>
    <w:rsid w:val="004F18D7"/>
    <w:rsid w:val="004F22DE"/>
    <w:rsid w:val="004F25F7"/>
    <w:rsid w:val="004F28F6"/>
    <w:rsid w:val="004F2DEC"/>
    <w:rsid w:val="004F31A7"/>
    <w:rsid w:val="004F3C2F"/>
    <w:rsid w:val="004F435C"/>
    <w:rsid w:val="004F4954"/>
    <w:rsid w:val="004F50FF"/>
    <w:rsid w:val="004F562B"/>
    <w:rsid w:val="004F576B"/>
    <w:rsid w:val="004F6320"/>
    <w:rsid w:val="004F679D"/>
    <w:rsid w:val="00500375"/>
    <w:rsid w:val="00500D88"/>
    <w:rsid w:val="005010A3"/>
    <w:rsid w:val="00501278"/>
    <w:rsid w:val="0050398E"/>
    <w:rsid w:val="00504166"/>
    <w:rsid w:val="0050605A"/>
    <w:rsid w:val="005064E8"/>
    <w:rsid w:val="005074C7"/>
    <w:rsid w:val="00507B52"/>
    <w:rsid w:val="00511027"/>
    <w:rsid w:val="00514335"/>
    <w:rsid w:val="00515D17"/>
    <w:rsid w:val="00516A09"/>
    <w:rsid w:val="00516C75"/>
    <w:rsid w:val="00521E80"/>
    <w:rsid w:val="005225FB"/>
    <w:rsid w:val="0052521F"/>
    <w:rsid w:val="00525797"/>
    <w:rsid w:val="0052653D"/>
    <w:rsid w:val="00526C54"/>
    <w:rsid w:val="00526FEC"/>
    <w:rsid w:val="005271CE"/>
    <w:rsid w:val="00527E79"/>
    <w:rsid w:val="00531D2B"/>
    <w:rsid w:val="005326CA"/>
    <w:rsid w:val="00534589"/>
    <w:rsid w:val="00536232"/>
    <w:rsid w:val="00540907"/>
    <w:rsid w:val="00541422"/>
    <w:rsid w:val="00541735"/>
    <w:rsid w:val="00542E32"/>
    <w:rsid w:val="005431E2"/>
    <w:rsid w:val="00547AF6"/>
    <w:rsid w:val="00551226"/>
    <w:rsid w:val="0055185C"/>
    <w:rsid w:val="00553607"/>
    <w:rsid w:val="005561E6"/>
    <w:rsid w:val="00557BD9"/>
    <w:rsid w:val="00557FB1"/>
    <w:rsid w:val="005602CA"/>
    <w:rsid w:val="0056118C"/>
    <w:rsid w:val="005617AE"/>
    <w:rsid w:val="005647DA"/>
    <w:rsid w:val="00565B50"/>
    <w:rsid w:val="00565FD1"/>
    <w:rsid w:val="0056668C"/>
    <w:rsid w:val="00570EF2"/>
    <w:rsid w:val="00571883"/>
    <w:rsid w:val="00572861"/>
    <w:rsid w:val="00575476"/>
    <w:rsid w:val="00575CC5"/>
    <w:rsid w:val="00576A44"/>
    <w:rsid w:val="005777C4"/>
    <w:rsid w:val="00577EC5"/>
    <w:rsid w:val="00581708"/>
    <w:rsid w:val="00582ABB"/>
    <w:rsid w:val="00584FCA"/>
    <w:rsid w:val="00585EDC"/>
    <w:rsid w:val="00586F5A"/>
    <w:rsid w:val="00587E51"/>
    <w:rsid w:val="00591B09"/>
    <w:rsid w:val="00592061"/>
    <w:rsid w:val="00593842"/>
    <w:rsid w:val="00593DC4"/>
    <w:rsid w:val="00594991"/>
    <w:rsid w:val="0059574F"/>
    <w:rsid w:val="00595C60"/>
    <w:rsid w:val="005971B0"/>
    <w:rsid w:val="00597A47"/>
    <w:rsid w:val="005A0956"/>
    <w:rsid w:val="005A1C13"/>
    <w:rsid w:val="005A25B4"/>
    <w:rsid w:val="005A2A7B"/>
    <w:rsid w:val="005A3265"/>
    <w:rsid w:val="005A32DF"/>
    <w:rsid w:val="005A3A82"/>
    <w:rsid w:val="005A3FD1"/>
    <w:rsid w:val="005A41B4"/>
    <w:rsid w:val="005A48B3"/>
    <w:rsid w:val="005A52B0"/>
    <w:rsid w:val="005A6F68"/>
    <w:rsid w:val="005B1FC1"/>
    <w:rsid w:val="005B2819"/>
    <w:rsid w:val="005B31B5"/>
    <w:rsid w:val="005B31E7"/>
    <w:rsid w:val="005B5AF8"/>
    <w:rsid w:val="005B5FCE"/>
    <w:rsid w:val="005B683E"/>
    <w:rsid w:val="005B68D9"/>
    <w:rsid w:val="005B6C8F"/>
    <w:rsid w:val="005B7A7D"/>
    <w:rsid w:val="005C16A6"/>
    <w:rsid w:val="005C4764"/>
    <w:rsid w:val="005C7CFE"/>
    <w:rsid w:val="005D2C6F"/>
    <w:rsid w:val="005D2DB3"/>
    <w:rsid w:val="005D4028"/>
    <w:rsid w:val="005D68F3"/>
    <w:rsid w:val="005D7153"/>
    <w:rsid w:val="005D7EF3"/>
    <w:rsid w:val="005E10F4"/>
    <w:rsid w:val="005E16C5"/>
    <w:rsid w:val="005E1FE3"/>
    <w:rsid w:val="005E230E"/>
    <w:rsid w:val="005E48AC"/>
    <w:rsid w:val="005E4B38"/>
    <w:rsid w:val="005E5A59"/>
    <w:rsid w:val="005E681D"/>
    <w:rsid w:val="005F0A72"/>
    <w:rsid w:val="005F0EF3"/>
    <w:rsid w:val="005F2328"/>
    <w:rsid w:val="005F3DBF"/>
    <w:rsid w:val="005F433E"/>
    <w:rsid w:val="005F4A90"/>
    <w:rsid w:val="005F4D3C"/>
    <w:rsid w:val="005F510A"/>
    <w:rsid w:val="005F530E"/>
    <w:rsid w:val="005F5ED3"/>
    <w:rsid w:val="005F6061"/>
    <w:rsid w:val="005F7EC1"/>
    <w:rsid w:val="00600073"/>
    <w:rsid w:val="00600350"/>
    <w:rsid w:val="00601C2D"/>
    <w:rsid w:val="00601CBC"/>
    <w:rsid w:val="00601D6E"/>
    <w:rsid w:val="00602A79"/>
    <w:rsid w:val="006031B5"/>
    <w:rsid w:val="006036CD"/>
    <w:rsid w:val="00604794"/>
    <w:rsid w:val="00607A0A"/>
    <w:rsid w:val="00607AC4"/>
    <w:rsid w:val="00610290"/>
    <w:rsid w:val="006127FF"/>
    <w:rsid w:val="00612AFB"/>
    <w:rsid w:val="00615DC4"/>
    <w:rsid w:val="00616C33"/>
    <w:rsid w:val="00616D6E"/>
    <w:rsid w:val="0061751D"/>
    <w:rsid w:val="00620D7B"/>
    <w:rsid w:val="00620E44"/>
    <w:rsid w:val="00621FB1"/>
    <w:rsid w:val="00622DB1"/>
    <w:rsid w:val="0062542A"/>
    <w:rsid w:val="006261E1"/>
    <w:rsid w:val="00632E2C"/>
    <w:rsid w:val="00635329"/>
    <w:rsid w:val="00637F84"/>
    <w:rsid w:val="00640CDC"/>
    <w:rsid w:val="0064124F"/>
    <w:rsid w:val="00641D7C"/>
    <w:rsid w:val="00643A54"/>
    <w:rsid w:val="0064479D"/>
    <w:rsid w:val="006454BC"/>
    <w:rsid w:val="00645718"/>
    <w:rsid w:val="006469DD"/>
    <w:rsid w:val="00647B18"/>
    <w:rsid w:val="00647DD2"/>
    <w:rsid w:val="00650A28"/>
    <w:rsid w:val="0065277E"/>
    <w:rsid w:val="00652845"/>
    <w:rsid w:val="00655D18"/>
    <w:rsid w:val="0065786D"/>
    <w:rsid w:val="006615D6"/>
    <w:rsid w:val="00661C4D"/>
    <w:rsid w:val="006629BD"/>
    <w:rsid w:val="00662C4B"/>
    <w:rsid w:val="00663774"/>
    <w:rsid w:val="00664F21"/>
    <w:rsid w:val="00665B70"/>
    <w:rsid w:val="00665D52"/>
    <w:rsid w:val="00665ED7"/>
    <w:rsid w:val="00666280"/>
    <w:rsid w:val="006735A7"/>
    <w:rsid w:val="00673F54"/>
    <w:rsid w:val="00674472"/>
    <w:rsid w:val="00675FB3"/>
    <w:rsid w:val="006806F2"/>
    <w:rsid w:val="00680EC0"/>
    <w:rsid w:val="00681027"/>
    <w:rsid w:val="006814EE"/>
    <w:rsid w:val="00681765"/>
    <w:rsid w:val="00682978"/>
    <w:rsid w:val="00682F8F"/>
    <w:rsid w:val="006840CE"/>
    <w:rsid w:val="0068621B"/>
    <w:rsid w:val="00686B1A"/>
    <w:rsid w:val="00686C1D"/>
    <w:rsid w:val="00686D0E"/>
    <w:rsid w:val="006872D8"/>
    <w:rsid w:val="0068770B"/>
    <w:rsid w:val="0069006B"/>
    <w:rsid w:val="00690141"/>
    <w:rsid w:val="0069075C"/>
    <w:rsid w:val="0069170B"/>
    <w:rsid w:val="0069663A"/>
    <w:rsid w:val="006A060E"/>
    <w:rsid w:val="006A1319"/>
    <w:rsid w:val="006A25AF"/>
    <w:rsid w:val="006A3F5A"/>
    <w:rsid w:val="006A6A43"/>
    <w:rsid w:val="006B15B6"/>
    <w:rsid w:val="006B2DD7"/>
    <w:rsid w:val="006B31F6"/>
    <w:rsid w:val="006B3337"/>
    <w:rsid w:val="006B42C4"/>
    <w:rsid w:val="006B5019"/>
    <w:rsid w:val="006B5638"/>
    <w:rsid w:val="006B6408"/>
    <w:rsid w:val="006C1AB9"/>
    <w:rsid w:val="006C1E18"/>
    <w:rsid w:val="006C23EF"/>
    <w:rsid w:val="006C2410"/>
    <w:rsid w:val="006C26D4"/>
    <w:rsid w:val="006C284C"/>
    <w:rsid w:val="006C2B0F"/>
    <w:rsid w:val="006C2CA5"/>
    <w:rsid w:val="006C2E2F"/>
    <w:rsid w:val="006C72B3"/>
    <w:rsid w:val="006C7CFE"/>
    <w:rsid w:val="006D0C58"/>
    <w:rsid w:val="006D1117"/>
    <w:rsid w:val="006D165B"/>
    <w:rsid w:val="006D1DD5"/>
    <w:rsid w:val="006D2239"/>
    <w:rsid w:val="006D2F34"/>
    <w:rsid w:val="006D3A9E"/>
    <w:rsid w:val="006D4936"/>
    <w:rsid w:val="006D5003"/>
    <w:rsid w:val="006D69C8"/>
    <w:rsid w:val="006D7210"/>
    <w:rsid w:val="006D7329"/>
    <w:rsid w:val="006D7332"/>
    <w:rsid w:val="006E08E2"/>
    <w:rsid w:val="006E09FE"/>
    <w:rsid w:val="006E0DD4"/>
    <w:rsid w:val="006E2169"/>
    <w:rsid w:val="006E31B2"/>
    <w:rsid w:val="006E494F"/>
    <w:rsid w:val="006E591C"/>
    <w:rsid w:val="006E5CE6"/>
    <w:rsid w:val="006E6065"/>
    <w:rsid w:val="006E72C4"/>
    <w:rsid w:val="006E74C3"/>
    <w:rsid w:val="006E77FA"/>
    <w:rsid w:val="006F0F3D"/>
    <w:rsid w:val="006F1AAB"/>
    <w:rsid w:val="006F226B"/>
    <w:rsid w:val="006F265F"/>
    <w:rsid w:val="006F304F"/>
    <w:rsid w:val="006F3621"/>
    <w:rsid w:val="006F3FEC"/>
    <w:rsid w:val="006F5C50"/>
    <w:rsid w:val="006F5F0C"/>
    <w:rsid w:val="006F75F8"/>
    <w:rsid w:val="006F7E71"/>
    <w:rsid w:val="00701C70"/>
    <w:rsid w:val="00701F8C"/>
    <w:rsid w:val="00703330"/>
    <w:rsid w:val="007037D7"/>
    <w:rsid w:val="007042F9"/>
    <w:rsid w:val="007047AA"/>
    <w:rsid w:val="007102BA"/>
    <w:rsid w:val="00711560"/>
    <w:rsid w:val="00712DA7"/>
    <w:rsid w:val="00712F2A"/>
    <w:rsid w:val="0071366A"/>
    <w:rsid w:val="007152A8"/>
    <w:rsid w:val="00716059"/>
    <w:rsid w:val="0071643A"/>
    <w:rsid w:val="00716A73"/>
    <w:rsid w:val="00716FAC"/>
    <w:rsid w:val="007172DC"/>
    <w:rsid w:val="00717953"/>
    <w:rsid w:val="00721BA5"/>
    <w:rsid w:val="00723EF8"/>
    <w:rsid w:val="007247D9"/>
    <w:rsid w:val="00724CEB"/>
    <w:rsid w:val="00725705"/>
    <w:rsid w:val="00731279"/>
    <w:rsid w:val="0073147D"/>
    <w:rsid w:val="007329A3"/>
    <w:rsid w:val="0073406F"/>
    <w:rsid w:val="007341FD"/>
    <w:rsid w:val="00734FBF"/>
    <w:rsid w:val="0073608D"/>
    <w:rsid w:val="007401E4"/>
    <w:rsid w:val="00741089"/>
    <w:rsid w:val="007419FA"/>
    <w:rsid w:val="0074228F"/>
    <w:rsid w:val="00743408"/>
    <w:rsid w:val="00745054"/>
    <w:rsid w:val="00745D5C"/>
    <w:rsid w:val="00747A19"/>
    <w:rsid w:val="00751705"/>
    <w:rsid w:val="00751B0A"/>
    <w:rsid w:val="00752360"/>
    <w:rsid w:val="0075270C"/>
    <w:rsid w:val="007604FE"/>
    <w:rsid w:val="00761602"/>
    <w:rsid w:val="00762336"/>
    <w:rsid w:val="007624BC"/>
    <w:rsid w:val="0076298A"/>
    <w:rsid w:val="00763120"/>
    <w:rsid w:val="00763E48"/>
    <w:rsid w:val="0076607A"/>
    <w:rsid w:val="007673D4"/>
    <w:rsid w:val="007701C6"/>
    <w:rsid w:val="00770217"/>
    <w:rsid w:val="0077067C"/>
    <w:rsid w:val="0077166E"/>
    <w:rsid w:val="00772473"/>
    <w:rsid w:val="007726EA"/>
    <w:rsid w:val="00772768"/>
    <w:rsid w:val="0077286D"/>
    <w:rsid w:val="00772B80"/>
    <w:rsid w:val="00774EEC"/>
    <w:rsid w:val="00774F99"/>
    <w:rsid w:val="00775F4B"/>
    <w:rsid w:val="0077781B"/>
    <w:rsid w:val="0078111A"/>
    <w:rsid w:val="007829CB"/>
    <w:rsid w:val="00782E94"/>
    <w:rsid w:val="00784972"/>
    <w:rsid w:val="007923AF"/>
    <w:rsid w:val="0079302A"/>
    <w:rsid w:val="00793303"/>
    <w:rsid w:val="00793736"/>
    <w:rsid w:val="00793975"/>
    <w:rsid w:val="00795336"/>
    <w:rsid w:val="00795F0C"/>
    <w:rsid w:val="00797D40"/>
    <w:rsid w:val="007A0733"/>
    <w:rsid w:val="007A2095"/>
    <w:rsid w:val="007A252F"/>
    <w:rsid w:val="007A2871"/>
    <w:rsid w:val="007A4523"/>
    <w:rsid w:val="007A4728"/>
    <w:rsid w:val="007A4B9D"/>
    <w:rsid w:val="007A4BA7"/>
    <w:rsid w:val="007A5038"/>
    <w:rsid w:val="007A51DE"/>
    <w:rsid w:val="007A59AC"/>
    <w:rsid w:val="007A700A"/>
    <w:rsid w:val="007A7BF5"/>
    <w:rsid w:val="007A7E77"/>
    <w:rsid w:val="007B0C7C"/>
    <w:rsid w:val="007B49A1"/>
    <w:rsid w:val="007B51BD"/>
    <w:rsid w:val="007B51C9"/>
    <w:rsid w:val="007B6D00"/>
    <w:rsid w:val="007C0E89"/>
    <w:rsid w:val="007C20A0"/>
    <w:rsid w:val="007C2B13"/>
    <w:rsid w:val="007C2B61"/>
    <w:rsid w:val="007C2FAE"/>
    <w:rsid w:val="007C300F"/>
    <w:rsid w:val="007C56A9"/>
    <w:rsid w:val="007D069C"/>
    <w:rsid w:val="007D1638"/>
    <w:rsid w:val="007D29C2"/>
    <w:rsid w:val="007D34E8"/>
    <w:rsid w:val="007D6869"/>
    <w:rsid w:val="007D751F"/>
    <w:rsid w:val="007D7880"/>
    <w:rsid w:val="007E0B1B"/>
    <w:rsid w:val="007E16C7"/>
    <w:rsid w:val="007E1D9A"/>
    <w:rsid w:val="007E3E56"/>
    <w:rsid w:val="007E5CC1"/>
    <w:rsid w:val="007E64F9"/>
    <w:rsid w:val="007E69A8"/>
    <w:rsid w:val="007E7943"/>
    <w:rsid w:val="007F054D"/>
    <w:rsid w:val="007F0DF9"/>
    <w:rsid w:val="007F1562"/>
    <w:rsid w:val="007F15ED"/>
    <w:rsid w:val="007F28EB"/>
    <w:rsid w:val="007F545F"/>
    <w:rsid w:val="007F55AF"/>
    <w:rsid w:val="007F5A45"/>
    <w:rsid w:val="007F5D80"/>
    <w:rsid w:val="007F6DA4"/>
    <w:rsid w:val="007F78F4"/>
    <w:rsid w:val="007F796A"/>
    <w:rsid w:val="007F7C8D"/>
    <w:rsid w:val="00800351"/>
    <w:rsid w:val="00801406"/>
    <w:rsid w:val="008014F5"/>
    <w:rsid w:val="008034F6"/>
    <w:rsid w:val="00804634"/>
    <w:rsid w:val="008048D5"/>
    <w:rsid w:val="00805A87"/>
    <w:rsid w:val="00807691"/>
    <w:rsid w:val="008114F0"/>
    <w:rsid w:val="00811CC2"/>
    <w:rsid w:val="008121F6"/>
    <w:rsid w:val="00814C9F"/>
    <w:rsid w:val="0081518D"/>
    <w:rsid w:val="00816C12"/>
    <w:rsid w:val="008177C4"/>
    <w:rsid w:val="00821267"/>
    <w:rsid w:val="00821809"/>
    <w:rsid w:val="0082360D"/>
    <w:rsid w:val="00823C01"/>
    <w:rsid w:val="00824484"/>
    <w:rsid w:val="00827C8C"/>
    <w:rsid w:val="008304AF"/>
    <w:rsid w:val="00830D26"/>
    <w:rsid w:val="0083259F"/>
    <w:rsid w:val="00832FE2"/>
    <w:rsid w:val="00833BE4"/>
    <w:rsid w:val="00834E4F"/>
    <w:rsid w:val="008350D9"/>
    <w:rsid w:val="00836464"/>
    <w:rsid w:val="00836DAC"/>
    <w:rsid w:val="008372F6"/>
    <w:rsid w:val="00840AC0"/>
    <w:rsid w:val="00841DFE"/>
    <w:rsid w:val="0084245D"/>
    <w:rsid w:val="00843363"/>
    <w:rsid w:val="008442DF"/>
    <w:rsid w:val="008464D7"/>
    <w:rsid w:val="00846DBA"/>
    <w:rsid w:val="008475F1"/>
    <w:rsid w:val="008509BE"/>
    <w:rsid w:val="00850C17"/>
    <w:rsid w:val="008515E1"/>
    <w:rsid w:val="0085261D"/>
    <w:rsid w:val="0085320C"/>
    <w:rsid w:val="008539B9"/>
    <w:rsid w:val="00854399"/>
    <w:rsid w:val="00854BD5"/>
    <w:rsid w:val="0085580D"/>
    <w:rsid w:val="00855CA6"/>
    <w:rsid w:val="00856B8E"/>
    <w:rsid w:val="00860217"/>
    <w:rsid w:val="00860F19"/>
    <w:rsid w:val="00861246"/>
    <w:rsid w:val="0086137F"/>
    <w:rsid w:val="00862994"/>
    <w:rsid w:val="00864118"/>
    <w:rsid w:val="008646A3"/>
    <w:rsid w:val="00865B07"/>
    <w:rsid w:val="008660F0"/>
    <w:rsid w:val="008663AA"/>
    <w:rsid w:val="00867781"/>
    <w:rsid w:val="0087000A"/>
    <w:rsid w:val="00870026"/>
    <w:rsid w:val="008703DD"/>
    <w:rsid w:val="00870481"/>
    <w:rsid w:val="00871A14"/>
    <w:rsid w:val="00872444"/>
    <w:rsid w:val="00874A43"/>
    <w:rsid w:val="00874EC7"/>
    <w:rsid w:val="00875257"/>
    <w:rsid w:val="008760A7"/>
    <w:rsid w:val="00876724"/>
    <w:rsid w:val="008768BA"/>
    <w:rsid w:val="0087780C"/>
    <w:rsid w:val="008805CC"/>
    <w:rsid w:val="00880DBF"/>
    <w:rsid w:val="00881E11"/>
    <w:rsid w:val="008834E9"/>
    <w:rsid w:val="00884500"/>
    <w:rsid w:val="00884901"/>
    <w:rsid w:val="00885343"/>
    <w:rsid w:val="00885708"/>
    <w:rsid w:val="00886109"/>
    <w:rsid w:val="00887864"/>
    <w:rsid w:val="0089072B"/>
    <w:rsid w:val="00890EE4"/>
    <w:rsid w:val="00891602"/>
    <w:rsid w:val="00892641"/>
    <w:rsid w:val="00894074"/>
    <w:rsid w:val="00894583"/>
    <w:rsid w:val="00894763"/>
    <w:rsid w:val="00894C86"/>
    <w:rsid w:val="00896551"/>
    <w:rsid w:val="008972C8"/>
    <w:rsid w:val="008A1087"/>
    <w:rsid w:val="008A1402"/>
    <w:rsid w:val="008A160B"/>
    <w:rsid w:val="008A22F9"/>
    <w:rsid w:val="008A3263"/>
    <w:rsid w:val="008A3379"/>
    <w:rsid w:val="008A374A"/>
    <w:rsid w:val="008A388D"/>
    <w:rsid w:val="008A3A46"/>
    <w:rsid w:val="008A3D2C"/>
    <w:rsid w:val="008A559D"/>
    <w:rsid w:val="008A78FC"/>
    <w:rsid w:val="008B1DEF"/>
    <w:rsid w:val="008B2490"/>
    <w:rsid w:val="008B2517"/>
    <w:rsid w:val="008B252D"/>
    <w:rsid w:val="008B3FD6"/>
    <w:rsid w:val="008B4128"/>
    <w:rsid w:val="008B49F3"/>
    <w:rsid w:val="008B5E45"/>
    <w:rsid w:val="008B6B74"/>
    <w:rsid w:val="008B6C01"/>
    <w:rsid w:val="008C032D"/>
    <w:rsid w:val="008C1529"/>
    <w:rsid w:val="008C27FF"/>
    <w:rsid w:val="008C46E0"/>
    <w:rsid w:val="008C4CD0"/>
    <w:rsid w:val="008C52B6"/>
    <w:rsid w:val="008C675C"/>
    <w:rsid w:val="008C7139"/>
    <w:rsid w:val="008D1714"/>
    <w:rsid w:val="008D52C9"/>
    <w:rsid w:val="008D7074"/>
    <w:rsid w:val="008E0FCB"/>
    <w:rsid w:val="008E2437"/>
    <w:rsid w:val="008E30D8"/>
    <w:rsid w:val="008E3E3F"/>
    <w:rsid w:val="008E4732"/>
    <w:rsid w:val="008E668D"/>
    <w:rsid w:val="008E7345"/>
    <w:rsid w:val="008F12DB"/>
    <w:rsid w:val="008F284D"/>
    <w:rsid w:val="008F2A2E"/>
    <w:rsid w:val="008F2C7F"/>
    <w:rsid w:val="008F37AF"/>
    <w:rsid w:val="008F3B93"/>
    <w:rsid w:val="008F592C"/>
    <w:rsid w:val="008F6133"/>
    <w:rsid w:val="008F659F"/>
    <w:rsid w:val="008F6635"/>
    <w:rsid w:val="008F6C5D"/>
    <w:rsid w:val="008F6C60"/>
    <w:rsid w:val="008F6FEB"/>
    <w:rsid w:val="008F7254"/>
    <w:rsid w:val="009018B8"/>
    <w:rsid w:val="009028D2"/>
    <w:rsid w:val="00904739"/>
    <w:rsid w:val="00906557"/>
    <w:rsid w:val="00907970"/>
    <w:rsid w:val="009116D3"/>
    <w:rsid w:val="00911CEC"/>
    <w:rsid w:val="00911D39"/>
    <w:rsid w:val="009120CE"/>
    <w:rsid w:val="00913A8E"/>
    <w:rsid w:val="009140C8"/>
    <w:rsid w:val="009144F3"/>
    <w:rsid w:val="009145B1"/>
    <w:rsid w:val="009145EA"/>
    <w:rsid w:val="00917F55"/>
    <w:rsid w:val="00920373"/>
    <w:rsid w:val="00920733"/>
    <w:rsid w:val="00920A59"/>
    <w:rsid w:val="00920DE2"/>
    <w:rsid w:val="009215A2"/>
    <w:rsid w:val="00924D3A"/>
    <w:rsid w:val="00924F7F"/>
    <w:rsid w:val="00925710"/>
    <w:rsid w:val="00925BC0"/>
    <w:rsid w:val="00926800"/>
    <w:rsid w:val="00926BEB"/>
    <w:rsid w:val="0093078A"/>
    <w:rsid w:val="00931EDB"/>
    <w:rsid w:val="0093286D"/>
    <w:rsid w:val="00933515"/>
    <w:rsid w:val="00933766"/>
    <w:rsid w:val="00933FC7"/>
    <w:rsid w:val="0093402A"/>
    <w:rsid w:val="009355EF"/>
    <w:rsid w:val="00935974"/>
    <w:rsid w:val="00937B1D"/>
    <w:rsid w:val="009420D6"/>
    <w:rsid w:val="009429C3"/>
    <w:rsid w:val="00947DD4"/>
    <w:rsid w:val="00950904"/>
    <w:rsid w:val="00952063"/>
    <w:rsid w:val="00952D69"/>
    <w:rsid w:val="00953B8D"/>
    <w:rsid w:val="00954EBF"/>
    <w:rsid w:val="0095503A"/>
    <w:rsid w:val="00955EDF"/>
    <w:rsid w:val="00956CD2"/>
    <w:rsid w:val="00957874"/>
    <w:rsid w:val="00957AC1"/>
    <w:rsid w:val="00960440"/>
    <w:rsid w:val="00960EC3"/>
    <w:rsid w:val="00962499"/>
    <w:rsid w:val="00963592"/>
    <w:rsid w:val="00963719"/>
    <w:rsid w:val="009638ED"/>
    <w:rsid w:val="00963BDB"/>
    <w:rsid w:val="009640C7"/>
    <w:rsid w:val="0096495D"/>
    <w:rsid w:val="0096682C"/>
    <w:rsid w:val="0096710E"/>
    <w:rsid w:val="009705E5"/>
    <w:rsid w:val="0097142C"/>
    <w:rsid w:val="00971656"/>
    <w:rsid w:val="009716A9"/>
    <w:rsid w:val="00972B9D"/>
    <w:rsid w:val="0097526D"/>
    <w:rsid w:val="00975654"/>
    <w:rsid w:val="00975842"/>
    <w:rsid w:val="00976615"/>
    <w:rsid w:val="0097734C"/>
    <w:rsid w:val="009773BF"/>
    <w:rsid w:val="00977D88"/>
    <w:rsid w:val="00977EF8"/>
    <w:rsid w:val="0098081F"/>
    <w:rsid w:val="00980C8F"/>
    <w:rsid w:val="00980DF3"/>
    <w:rsid w:val="00983E00"/>
    <w:rsid w:val="00983E8C"/>
    <w:rsid w:val="009845B0"/>
    <w:rsid w:val="00985EFA"/>
    <w:rsid w:val="00987587"/>
    <w:rsid w:val="00990131"/>
    <w:rsid w:val="00991FC8"/>
    <w:rsid w:val="009928C1"/>
    <w:rsid w:val="00992C12"/>
    <w:rsid w:val="00992C16"/>
    <w:rsid w:val="00994541"/>
    <w:rsid w:val="009947F5"/>
    <w:rsid w:val="009953A9"/>
    <w:rsid w:val="00995C5E"/>
    <w:rsid w:val="0099679B"/>
    <w:rsid w:val="009A00E3"/>
    <w:rsid w:val="009A22E6"/>
    <w:rsid w:val="009A2CC7"/>
    <w:rsid w:val="009A370A"/>
    <w:rsid w:val="009A3738"/>
    <w:rsid w:val="009A4123"/>
    <w:rsid w:val="009A5335"/>
    <w:rsid w:val="009A631B"/>
    <w:rsid w:val="009B0614"/>
    <w:rsid w:val="009B0928"/>
    <w:rsid w:val="009B0A75"/>
    <w:rsid w:val="009B3009"/>
    <w:rsid w:val="009B4198"/>
    <w:rsid w:val="009B5735"/>
    <w:rsid w:val="009B5887"/>
    <w:rsid w:val="009B5C60"/>
    <w:rsid w:val="009B6401"/>
    <w:rsid w:val="009B6B23"/>
    <w:rsid w:val="009C0239"/>
    <w:rsid w:val="009C0545"/>
    <w:rsid w:val="009C0A64"/>
    <w:rsid w:val="009C1186"/>
    <w:rsid w:val="009C218B"/>
    <w:rsid w:val="009C3C00"/>
    <w:rsid w:val="009C4EE4"/>
    <w:rsid w:val="009C5913"/>
    <w:rsid w:val="009C653C"/>
    <w:rsid w:val="009C6AEE"/>
    <w:rsid w:val="009C7B4F"/>
    <w:rsid w:val="009D03B9"/>
    <w:rsid w:val="009D1479"/>
    <w:rsid w:val="009D1B9B"/>
    <w:rsid w:val="009D26E6"/>
    <w:rsid w:val="009D39CD"/>
    <w:rsid w:val="009D39EE"/>
    <w:rsid w:val="009D41BF"/>
    <w:rsid w:val="009D460F"/>
    <w:rsid w:val="009D4B01"/>
    <w:rsid w:val="009D5EA2"/>
    <w:rsid w:val="009D6109"/>
    <w:rsid w:val="009D7D88"/>
    <w:rsid w:val="009E2457"/>
    <w:rsid w:val="009E2614"/>
    <w:rsid w:val="009E385F"/>
    <w:rsid w:val="009E3FDE"/>
    <w:rsid w:val="009E6128"/>
    <w:rsid w:val="009F2612"/>
    <w:rsid w:val="009F3638"/>
    <w:rsid w:val="009F38D7"/>
    <w:rsid w:val="009F4431"/>
    <w:rsid w:val="009F498E"/>
    <w:rsid w:val="009F56F9"/>
    <w:rsid w:val="009F66C5"/>
    <w:rsid w:val="009F6E2F"/>
    <w:rsid w:val="009F6EDB"/>
    <w:rsid w:val="00A002E3"/>
    <w:rsid w:val="00A00D44"/>
    <w:rsid w:val="00A01D52"/>
    <w:rsid w:val="00A022F3"/>
    <w:rsid w:val="00A02785"/>
    <w:rsid w:val="00A02DC9"/>
    <w:rsid w:val="00A04716"/>
    <w:rsid w:val="00A0537F"/>
    <w:rsid w:val="00A076A0"/>
    <w:rsid w:val="00A1125E"/>
    <w:rsid w:val="00A1366E"/>
    <w:rsid w:val="00A13682"/>
    <w:rsid w:val="00A13FC6"/>
    <w:rsid w:val="00A14348"/>
    <w:rsid w:val="00A15694"/>
    <w:rsid w:val="00A1664C"/>
    <w:rsid w:val="00A16E07"/>
    <w:rsid w:val="00A171E9"/>
    <w:rsid w:val="00A1761C"/>
    <w:rsid w:val="00A17ABA"/>
    <w:rsid w:val="00A20915"/>
    <w:rsid w:val="00A22DD1"/>
    <w:rsid w:val="00A23DE7"/>
    <w:rsid w:val="00A2428B"/>
    <w:rsid w:val="00A2578C"/>
    <w:rsid w:val="00A25981"/>
    <w:rsid w:val="00A274AA"/>
    <w:rsid w:val="00A27E69"/>
    <w:rsid w:val="00A303BA"/>
    <w:rsid w:val="00A30A84"/>
    <w:rsid w:val="00A30FC8"/>
    <w:rsid w:val="00A3161A"/>
    <w:rsid w:val="00A31D38"/>
    <w:rsid w:val="00A32250"/>
    <w:rsid w:val="00A32B8C"/>
    <w:rsid w:val="00A33275"/>
    <w:rsid w:val="00A3359C"/>
    <w:rsid w:val="00A348D0"/>
    <w:rsid w:val="00A3513A"/>
    <w:rsid w:val="00A3584E"/>
    <w:rsid w:val="00A35967"/>
    <w:rsid w:val="00A41685"/>
    <w:rsid w:val="00A41CD1"/>
    <w:rsid w:val="00A4274E"/>
    <w:rsid w:val="00A42C75"/>
    <w:rsid w:val="00A43D44"/>
    <w:rsid w:val="00A43DD9"/>
    <w:rsid w:val="00A445AD"/>
    <w:rsid w:val="00A44850"/>
    <w:rsid w:val="00A45844"/>
    <w:rsid w:val="00A45F94"/>
    <w:rsid w:val="00A46901"/>
    <w:rsid w:val="00A50B7A"/>
    <w:rsid w:val="00A50E35"/>
    <w:rsid w:val="00A51B4E"/>
    <w:rsid w:val="00A51B62"/>
    <w:rsid w:val="00A53748"/>
    <w:rsid w:val="00A5405F"/>
    <w:rsid w:val="00A5584E"/>
    <w:rsid w:val="00A5725C"/>
    <w:rsid w:val="00A57DBB"/>
    <w:rsid w:val="00A601D4"/>
    <w:rsid w:val="00A62656"/>
    <w:rsid w:val="00A64192"/>
    <w:rsid w:val="00A66BAB"/>
    <w:rsid w:val="00A6726C"/>
    <w:rsid w:val="00A67C9D"/>
    <w:rsid w:val="00A714EE"/>
    <w:rsid w:val="00A71B56"/>
    <w:rsid w:val="00A73185"/>
    <w:rsid w:val="00A74E2E"/>
    <w:rsid w:val="00A74F9A"/>
    <w:rsid w:val="00A768C0"/>
    <w:rsid w:val="00A76C2F"/>
    <w:rsid w:val="00A772BB"/>
    <w:rsid w:val="00A839E4"/>
    <w:rsid w:val="00A8414F"/>
    <w:rsid w:val="00A84BCC"/>
    <w:rsid w:val="00A86A1D"/>
    <w:rsid w:val="00A876E2"/>
    <w:rsid w:val="00A87D16"/>
    <w:rsid w:val="00A90A34"/>
    <w:rsid w:val="00A913AC"/>
    <w:rsid w:val="00A93454"/>
    <w:rsid w:val="00A93DAD"/>
    <w:rsid w:val="00A945C6"/>
    <w:rsid w:val="00A94607"/>
    <w:rsid w:val="00A95FD8"/>
    <w:rsid w:val="00A964CF"/>
    <w:rsid w:val="00A96F8B"/>
    <w:rsid w:val="00AA0420"/>
    <w:rsid w:val="00AA16CD"/>
    <w:rsid w:val="00AA2E6F"/>
    <w:rsid w:val="00AA2F2B"/>
    <w:rsid w:val="00AA4ABA"/>
    <w:rsid w:val="00AA5B30"/>
    <w:rsid w:val="00AA7690"/>
    <w:rsid w:val="00AB0737"/>
    <w:rsid w:val="00AB0DB9"/>
    <w:rsid w:val="00AB3356"/>
    <w:rsid w:val="00AB366C"/>
    <w:rsid w:val="00AB3ED6"/>
    <w:rsid w:val="00AB7BB0"/>
    <w:rsid w:val="00AC1498"/>
    <w:rsid w:val="00AC1992"/>
    <w:rsid w:val="00AC456F"/>
    <w:rsid w:val="00AC4733"/>
    <w:rsid w:val="00AC576B"/>
    <w:rsid w:val="00AC7DA4"/>
    <w:rsid w:val="00AC7F98"/>
    <w:rsid w:val="00AD095A"/>
    <w:rsid w:val="00AD2810"/>
    <w:rsid w:val="00AD3B88"/>
    <w:rsid w:val="00AD3DAC"/>
    <w:rsid w:val="00AD4644"/>
    <w:rsid w:val="00AD4FA4"/>
    <w:rsid w:val="00AD6301"/>
    <w:rsid w:val="00AD6676"/>
    <w:rsid w:val="00AD7B65"/>
    <w:rsid w:val="00AE1A23"/>
    <w:rsid w:val="00AE2AF7"/>
    <w:rsid w:val="00AE2E46"/>
    <w:rsid w:val="00AE46E1"/>
    <w:rsid w:val="00AE5480"/>
    <w:rsid w:val="00AF1D1F"/>
    <w:rsid w:val="00AF44A7"/>
    <w:rsid w:val="00AF4742"/>
    <w:rsid w:val="00AF50F7"/>
    <w:rsid w:val="00AF5832"/>
    <w:rsid w:val="00AF6582"/>
    <w:rsid w:val="00AF78E9"/>
    <w:rsid w:val="00AF78FD"/>
    <w:rsid w:val="00AF7F45"/>
    <w:rsid w:val="00AF7FF5"/>
    <w:rsid w:val="00B02087"/>
    <w:rsid w:val="00B0258A"/>
    <w:rsid w:val="00B02851"/>
    <w:rsid w:val="00B03418"/>
    <w:rsid w:val="00B038C6"/>
    <w:rsid w:val="00B04DD1"/>
    <w:rsid w:val="00B0559D"/>
    <w:rsid w:val="00B0648D"/>
    <w:rsid w:val="00B1056D"/>
    <w:rsid w:val="00B10AD0"/>
    <w:rsid w:val="00B117CE"/>
    <w:rsid w:val="00B14776"/>
    <w:rsid w:val="00B14C0A"/>
    <w:rsid w:val="00B14F13"/>
    <w:rsid w:val="00B15CCB"/>
    <w:rsid w:val="00B16E81"/>
    <w:rsid w:val="00B179D0"/>
    <w:rsid w:val="00B218F8"/>
    <w:rsid w:val="00B225F5"/>
    <w:rsid w:val="00B22D71"/>
    <w:rsid w:val="00B22F94"/>
    <w:rsid w:val="00B24D07"/>
    <w:rsid w:val="00B24F01"/>
    <w:rsid w:val="00B25062"/>
    <w:rsid w:val="00B2657A"/>
    <w:rsid w:val="00B26D28"/>
    <w:rsid w:val="00B31AF6"/>
    <w:rsid w:val="00B31AFE"/>
    <w:rsid w:val="00B32B1F"/>
    <w:rsid w:val="00B33180"/>
    <w:rsid w:val="00B349C4"/>
    <w:rsid w:val="00B367FF"/>
    <w:rsid w:val="00B414AE"/>
    <w:rsid w:val="00B41839"/>
    <w:rsid w:val="00B42C75"/>
    <w:rsid w:val="00B42D23"/>
    <w:rsid w:val="00B439C8"/>
    <w:rsid w:val="00B44A57"/>
    <w:rsid w:val="00B45C4C"/>
    <w:rsid w:val="00B47FD9"/>
    <w:rsid w:val="00B505E4"/>
    <w:rsid w:val="00B50639"/>
    <w:rsid w:val="00B53A4D"/>
    <w:rsid w:val="00B562A6"/>
    <w:rsid w:val="00B56930"/>
    <w:rsid w:val="00B575F6"/>
    <w:rsid w:val="00B57903"/>
    <w:rsid w:val="00B57CFE"/>
    <w:rsid w:val="00B61798"/>
    <w:rsid w:val="00B62167"/>
    <w:rsid w:val="00B62488"/>
    <w:rsid w:val="00B626CF"/>
    <w:rsid w:val="00B63782"/>
    <w:rsid w:val="00B65223"/>
    <w:rsid w:val="00B65CF3"/>
    <w:rsid w:val="00B65DCD"/>
    <w:rsid w:val="00B67E99"/>
    <w:rsid w:val="00B72757"/>
    <w:rsid w:val="00B72933"/>
    <w:rsid w:val="00B7460D"/>
    <w:rsid w:val="00B75865"/>
    <w:rsid w:val="00B75C9A"/>
    <w:rsid w:val="00B75CE1"/>
    <w:rsid w:val="00B82C1E"/>
    <w:rsid w:val="00B85E16"/>
    <w:rsid w:val="00B86D4D"/>
    <w:rsid w:val="00B86FA6"/>
    <w:rsid w:val="00B870E1"/>
    <w:rsid w:val="00B87434"/>
    <w:rsid w:val="00B87E26"/>
    <w:rsid w:val="00B90924"/>
    <w:rsid w:val="00B9129D"/>
    <w:rsid w:val="00B91385"/>
    <w:rsid w:val="00B91690"/>
    <w:rsid w:val="00B941F6"/>
    <w:rsid w:val="00B94DD6"/>
    <w:rsid w:val="00B950B2"/>
    <w:rsid w:val="00B96346"/>
    <w:rsid w:val="00B965F3"/>
    <w:rsid w:val="00B977EF"/>
    <w:rsid w:val="00BA0868"/>
    <w:rsid w:val="00BA09AA"/>
    <w:rsid w:val="00BA2B9E"/>
    <w:rsid w:val="00BA322B"/>
    <w:rsid w:val="00BA3951"/>
    <w:rsid w:val="00BA4406"/>
    <w:rsid w:val="00BA4517"/>
    <w:rsid w:val="00BA6672"/>
    <w:rsid w:val="00BA7613"/>
    <w:rsid w:val="00BB1A6E"/>
    <w:rsid w:val="00BB2FA4"/>
    <w:rsid w:val="00BB32FA"/>
    <w:rsid w:val="00BB59B0"/>
    <w:rsid w:val="00BB5B77"/>
    <w:rsid w:val="00BB6472"/>
    <w:rsid w:val="00BB6E37"/>
    <w:rsid w:val="00BB6F0B"/>
    <w:rsid w:val="00BB7976"/>
    <w:rsid w:val="00BB7CCF"/>
    <w:rsid w:val="00BC05B6"/>
    <w:rsid w:val="00BC0BFB"/>
    <w:rsid w:val="00BC1B9D"/>
    <w:rsid w:val="00BC1EAB"/>
    <w:rsid w:val="00BC2378"/>
    <w:rsid w:val="00BC26E3"/>
    <w:rsid w:val="00BC2BED"/>
    <w:rsid w:val="00BC30E8"/>
    <w:rsid w:val="00BC7D2E"/>
    <w:rsid w:val="00BD0BF7"/>
    <w:rsid w:val="00BD36F5"/>
    <w:rsid w:val="00BD39DE"/>
    <w:rsid w:val="00BD41F0"/>
    <w:rsid w:val="00BD5380"/>
    <w:rsid w:val="00BD7BA8"/>
    <w:rsid w:val="00BD7FAC"/>
    <w:rsid w:val="00BE29FD"/>
    <w:rsid w:val="00BE38E9"/>
    <w:rsid w:val="00BE3ACC"/>
    <w:rsid w:val="00BE4836"/>
    <w:rsid w:val="00BE572B"/>
    <w:rsid w:val="00BE6883"/>
    <w:rsid w:val="00BE68DE"/>
    <w:rsid w:val="00BE6BBD"/>
    <w:rsid w:val="00BE7A5A"/>
    <w:rsid w:val="00BE7DA4"/>
    <w:rsid w:val="00BF058F"/>
    <w:rsid w:val="00BF19ED"/>
    <w:rsid w:val="00BF2C98"/>
    <w:rsid w:val="00BF2E6C"/>
    <w:rsid w:val="00BF362E"/>
    <w:rsid w:val="00BF3747"/>
    <w:rsid w:val="00BF3A07"/>
    <w:rsid w:val="00BF4DFD"/>
    <w:rsid w:val="00BF707A"/>
    <w:rsid w:val="00BF777E"/>
    <w:rsid w:val="00C00D61"/>
    <w:rsid w:val="00C00E0D"/>
    <w:rsid w:val="00C02B13"/>
    <w:rsid w:val="00C034E3"/>
    <w:rsid w:val="00C039B2"/>
    <w:rsid w:val="00C03C23"/>
    <w:rsid w:val="00C03E9C"/>
    <w:rsid w:val="00C03ECF"/>
    <w:rsid w:val="00C0407A"/>
    <w:rsid w:val="00C04B81"/>
    <w:rsid w:val="00C051C2"/>
    <w:rsid w:val="00C057F3"/>
    <w:rsid w:val="00C06162"/>
    <w:rsid w:val="00C06D77"/>
    <w:rsid w:val="00C07028"/>
    <w:rsid w:val="00C10AE0"/>
    <w:rsid w:val="00C114E5"/>
    <w:rsid w:val="00C1406E"/>
    <w:rsid w:val="00C153BB"/>
    <w:rsid w:val="00C15E9C"/>
    <w:rsid w:val="00C20C4D"/>
    <w:rsid w:val="00C20D75"/>
    <w:rsid w:val="00C20E14"/>
    <w:rsid w:val="00C20F54"/>
    <w:rsid w:val="00C22EE7"/>
    <w:rsid w:val="00C2435F"/>
    <w:rsid w:val="00C2533F"/>
    <w:rsid w:val="00C259B9"/>
    <w:rsid w:val="00C26137"/>
    <w:rsid w:val="00C27C65"/>
    <w:rsid w:val="00C30C30"/>
    <w:rsid w:val="00C32406"/>
    <w:rsid w:val="00C328B0"/>
    <w:rsid w:val="00C32CBB"/>
    <w:rsid w:val="00C32ED3"/>
    <w:rsid w:val="00C33468"/>
    <w:rsid w:val="00C35AAA"/>
    <w:rsid w:val="00C35E9B"/>
    <w:rsid w:val="00C3698E"/>
    <w:rsid w:val="00C40112"/>
    <w:rsid w:val="00C407FB"/>
    <w:rsid w:val="00C4145F"/>
    <w:rsid w:val="00C417C0"/>
    <w:rsid w:val="00C421F4"/>
    <w:rsid w:val="00C42E74"/>
    <w:rsid w:val="00C43004"/>
    <w:rsid w:val="00C4407B"/>
    <w:rsid w:val="00C453C0"/>
    <w:rsid w:val="00C46E72"/>
    <w:rsid w:val="00C473B7"/>
    <w:rsid w:val="00C47F73"/>
    <w:rsid w:val="00C5174E"/>
    <w:rsid w:val="00C51A91"/>
    <w:rsid w:val="00C52164"/>
    <w:rsid w:val="00C52E3B"/>
    <w:rsid w:val="00C5430D"/>
    <w:rsid w:val="00C556FA"/>
    <w:rsid w:val="00C55F59"/>
    <w:rsid w:val="00C610A5"/>
    <w:rsid w:val="00C616AB"/>
    <w:rsid w:val="00C61ABA"/>
    <w:rsid w:val="00C62990"/>
    <w:rsid w:val="00C629E4"/>
    <w:rsid w:val="00C62A4C"/>
    <w:rsid w:val="00C63829"/>
    <w:rsid w:val="00C64D9E"/>
    <w:rsid w:val="00C67171"/>
    <w:rsid w:val="00C717A7"/>
    <w:rsid w:val="00C734D9"/>
    <w:rsid w:val="00C7470A"/>
    <w:rsid w:val="00C80190"/>
    <w:rsid w:val="00C804AA"/>
    <w:rsid w:val="00C81250"/>
    <w:rsid w:val="00C842D4"/>
    <w:rsid w:val="00C85019"/>
    <w:rsid w:val="00C855C1"/>
    <w:rsid w:val="00C85CFD"/>
    <w:rsid w:val="00C8603D"/>
    <w:rsid w:val="00C86413"/>
    <w:rsid w:val="00C91AAE"/>
    <w:rsid w:val="00C93610"/>
    <w:rsid w:val="00C94DAF"/>
    <w:rsid w:val="00C952FD"/>
    <w:rsid w:val="00C97391"/>
    <w:rsid w:val="00CA0549"/>
    <w:rsid w:val="00CA0D58"/>
    <w:rsid w:val="00CA1093"/>
    <w:rsid w:val="00CA2D0D"/>
    <w:rsid w:val="00CA3152"/>
    <w:rsid w:val="00CA3F80"/>
    <w:rsid w:val="00CA4593"/>
    <w:rsid w:val="00CA4A4B"/>
    <w:rsid w:val="00CB0BF3"/>
    <w:rsid w:val="00CB11DB"/>
    <w:rsid w:val="00CB1A3D"/>
    <w:rsid w:val="00CB2222"/>
    <w:rsid w:val="00CB2777"/>
    <w:rsid w:val="00CB37AB"/>
    <w:rsid w:val="00CB4B1D"/>
    <w:rsid w:val="00CB4FF9"/>
    <w:rsid w:val="00CB57B8"/>
    <w:rsid w:val="00CB58EF"/>
    <w:rsid w:val="00CC0460"/>
    <w:rsid w:val="00CC0EF8"/>
    <w:rsid w:val="00CC430F"/>
    <w:rsid w:val="00CC47F5"/>
    <w:rsid w:val="00CC77D3"/>
    <w:rsid w:val="00CC7C75"/>
    <w:rsid w:val="00CD078D"/>
    <w:rsid w:val="00CD17DB"/>
    <w:rsid w:val="00CD3BC9"/>
    <w:rsid w:val="00CD528E"/>
    <w:rsid w:val="00CD5A36"/>
    <w:rsid w:val="00CD6B07"/>
    <w:rsid w:val="00CD71FD"/>
    <w:rsid w:val="00CD7480"/>
    <w:rsid w:val="00CD77A9"/>
    <w:rsid w:val="00CE1F2E"/>
    <w:rsid w:val="00CE2841"/>
    <w:rsid w:val="00CE303A"/>
    <w:rsid w:val="00CE5111"/>
    <w:rsid w:val="00CE55F2"/>
    <w:rsid w:val="00CE60BB"/>
    <w:rsid w:val="00CF26EB"/>
    <w:rsid w:val="00CF2A31"/>
    <w:rsid w:val="00CF2FC1"/>
    <w:rsid w:val="00CF50A1"/>
    <w:rsid w:val="00CF7D0F"/>
    <w:rsid w:val="00D00A2F"/>
    <w:rsid w:val="00D01231"/>
    <w:rsid w:val="00D01946"/>
    <w:rsid w:val="00D01CD9"/>
    <w:rsid w:val="00D01DBB"/>
    <w:rsid w:val="00D02192"/>
    <w:rsid w:val="00D02BC2"/>
    <w:rsid w:val="00D03F26"/>
    <w:rsid w:val="00D07202"/>
    <w:rsid w:val="00D10739"/>
    <w:rsid w:val="00D10838"/>
    <w:rsid w:val="00D131CF"/>
    <w:rsid w:val="00D137B2"/>
    <w:rsid w:val="00D16978"/>
    <w:rsid w:val="00D179E3"/>
    <w:rsid w:val="00D20933"/>
    <w:rsid w:val="00D2189F"/>
    <w:rsid w:val="00D2241B"/>
    <w:rsid w:val="00D23D53"/>
    <w:rsid w:val="00D25170"/>
    <w:rsid w:val="00D2518F"/>
    <w:rsid w:val="00D26BDC"/>
    <w:rsid w:val="00D26E81"/>
    <w:rsid w:val="00D277E0"/>
    <w:rsid w:val="00D332B4"/>
    <w:rsid w:val="00D3469F"/>
    <w:rsid w:val="00D358EC"/>
    <w:rsid w:val="00D37F3E"/>
    <w:rsid w:val="00D4046F"/>
    <w:rsid w:val="00D40960"/>
    <w:rsid w:val="00D41474"/>
    <w:rsid w:val="00D433EF"/>
    <w:rsid w:val="00D438C9"/>
    <w:rsid w:val="00D44807"/>
    <w:rsid w:val="00D44DAF"/>
    <w:rsid w:val="00D4501E"/>
    <w:rsid w:val="00D45330"/>
    <w:rsid w:val="00D46057"/>
    <w:rsid w:val="00D51D8E"/>
    <w:rsid w:val="00D52975"/>
    <w:rsid w:val="00D53866"/>
    <w:rsid w:val="00D54D4A"/>
    <w:rsid w:val="00D55C71"/>
    <w:rsid w:val="00D60123"/>
    <w:rsid w:val="00D601B5"/>
    <w:rsid w:val="00D60C25"/>
    <w:rsid w:val="00D60E49"/>
    <w:rsid w:val="00D61A69"/>
    <w:rsid w:val="00D64821"/>
    <w:rsid w:val="00D659BB"/>
    <w:rsid w:val="00D67952"/>
    <w:rsid w:val="00D67CF9"/>
    <w:rsid w:val="00D707A4"/>
    <w:rsid w:val="00D71F36"/>
    <w:rsid w:val="00D71F51"/>
    <w:rsid w:val="00D72980"/>
    <w:rsid w:val="00D72C72"/>
    <w:rsid w:val="00D7418A"/>
    <w:rsid w:val="00D7524A"/>
    <w:rsid w:val="00D76AAB"/>
    <w:rsid w:val="00D771CC"/>
    <w:rsid w:val="00D803EF"/>
    <w:rsid w:val="00D809C5"/>
    <w:rsid w:val="00D82505"/>
    <w:rsid w:val="00D83389"/>
    <w:rsid w:val="00D83707"/>
    <w:rsid w:val="00D841D2"/>
    <w:rsid w:val="00D86B90"/>
    <w:rsid w:val="00D87FA6"/>
    <w:rsid w:val="00D909B2"/>
    <w:rsid w:val="00D93963"/>
    <w:rsid w:val="00D9438C"/>
    <w:rsid w:val="00D946DC"/>
    <w:rsid w:val="00D95019"/>
    <w:rsid w:val="00D97F02"/>
    <w:rsid w:val="00DA0FDB"/>
    <w:rsid w:val="00DA111B"/>
    <w:rsid w:val="00DA3E71"/>
    <w:rsid w:val="00DA40DE"/>
    <w:rsid w:val="00DA5ADD"/>
    <w:rsid w:val="00DA6747"/>
    <w:rsid w:val="00DA6CC8"/>
    <w:rsid w:val="00DA7656"/>
    <w:rsid w:val="00DB07BE"/>
    <w:rsid w:val="00DB18A0"/>
    <w:rsid w:val="00DB2E08"/>
    <w:rsid w:val="00DB3F2E"/>
    <w:rsid w:val="00DB5D0C"/>
    <w:rsid w:val="00DB71D9"/>
    <w:rsid w:val="00DB72CE"/>
    <w:rsid w:val="00DC1CF6"/>
    <w:rsid w:val="00DC3DED"/>
    <w:rsid w:val="00DC4B3A"/>
    <w:rsid w:val="00DC4D41"/>
    <w:rsid w:val="00DC5E0A"/>
    <w:rsid w:val="00DC67F7"/>
    <w:rsid w:val="00DC7776"/>
    <w:rsid w:val="00DD1113"/>
    <w:rsid w:val="00DD1B81"/>
    <w:rsid w:val="00DD231D"/>
    <w:rsid w:val="00DD3808"/>
    <w:rsid w:val="00DD3C0C"/>
    <w:rsid w:val="00DD418A"/>
    <w:rsid w:val="00DD457B"/>
    <w:rsid w:val="00DD4D2D"/>
    <w:rsid w:val="00DD560E"/>
    <w:rsid w:val="00DD61EB"/>
    <w:rsid w:val="00DD6C99"/>
    <w:rsid w:val="00DD741F"/>
    <w:rsid w:val="00DD7458"/>
    <w:rsid w:val="00DD7C4E"/>
    <w:rsid w:val="00DE1D98"/>
    <w:rsid w:val="00DE33F4"/>
    <w:rsid w:val="00DE49DB"/>
    <w:rsid w:val="00DE4C6B"/>
    <w:rsid w:val="00DE6EE1"/>
    <w:rsid w:val="00DE70AB"/>
    <w:rsid w:val="00DE7D07"/>
    <w:rsid w:val="00DF4063"/>
    <w:rsid w:val="00DF7531"/>
    <w:rsid w:val="00DF7BD9"/>
    <w:rsid w:val="00E00C52"/>
    <w:rsid w:val="00E010CC"/>
    <w:rsid w:val="00E0139F"/>
    <w:rsid w:val="00E032FF"/>
    <w:rsid w:val="00E03648"/>
    <w:rsid w:val="00E03A22"/>
    <w:rsid w:val="00E049CD"/>
    <w:rsid w:val="00E06897"/>
    <w:rsid w:val="00E06D16"/>
    <w:rsid w:val="00E10382"/>
    <w:rsid w:val="00E11070"/>
    <w:rsid w:val="00E151A3"/>
    <w:rsid w:val="00E1582F"/>
    <w:rsid w:val="00E159C4"/>
    <w:rsid w:val="00E160A4"/>
    <w:rsid w:val="00E16125"/>
    <w:rsid w:val="00E16964"/>
    <w:rsid w:val="00E20F1B"/>
    <w:rsid w:val="00E21634"/>
    <w:rsid w:val="00E21F33"/>
    <w:rsid w:val="00E26F00"/>
    <w:rsid w:val="00E34393"/>
    <w:rsid w:val="00E34C57"/>
    <w:rsid w:val="00E36010"/>
    <w:rsid w:val="00E36B86"/>
    <w:rsid w:val="00E36D6C"/>
    <w:rsid w:val="00E40215"/>
    <w:rsid w:val="00E41A23"/>
    <w:rsid w:val="00E41B7C"/>
    <w:rsid w:val="00E41E27"/>
    <w:rsid w:val="00E41EC0"/>
    <w:rsid w:val="00E44249"/>
    <w:rsid w:val="00E448FB"/>
    <w:rsid w:val="00E44ABC"/>
    <w:rsid w:val="00E45A2B"/>
    <w:rsid w:val="00E46DE6"/>
    <w:rsid w:val="00E479D8"/>
    <w:rsid w:val="00E50150"/>
    <w:rsid w:val="00E50761"/>
    <w:rsid w:val="00E50955"/>
    <w:rsid w:val="00E50CFD"/>
    <w:rsid w:val="00E52E40"/>
    <w:rsid w:val="00E537BD"/>
    <w:rsid w:val="00E53DCA"/>
    <w:rsid w:val="00E552AF"/>
    <w:rsid w:val="00E5585F"/>
    <w:rsid w:val="00E564F0"/>
    <w:rsid w:val="00E623EF"/>
    <w:rsid w:val="00E6298E"/>
    <w:rsid w:val="00E63D9E"/>
    <w:rsid w:val="00E640E4"/>
    <w:rsid w:val="00E65170"/>
    <w:rsid w:val="00E6552A"/>
    <w:rsid w:val="00E66985"/>
    <w:rsid w:val="00E67B58"/>
    <w:rsid w:val="00E70546"/>
    <w:rsid w:val="00E70A0C"/>
    <w:rsid w:val="00E718DF"/>
    <w:rsid w:val="00E71CDD"/>
    <w:rsid w:val="00E73A5D"/>
    <w:rsid w:val="00E73C13"/>
    <w:rsid w:val="00E7409A"/>
    <w:rsid w:val="00E76335"/>
    <w:rsid w:val="00E77D29"/>
    <w:rsid w:val="00E80CBB"/>
    <w:rsid w:val="00E81B5C"/>
    <w:rsid w:val="00E82615"/>
    <w:rsid w:val="00E85889"/>
    <w:rsid w:val="00E85AC9"/>
    <w:rsid w:val="00E86F22"/>
    <w:rsid w:val="00E905BB"/>
    <w:rsid w:val="00E9286A"/>
    <w:rsid w:val="00E93067"/>
    <w:rsid w:val="00E934FF"/>
    <w:rsid w:val="00E93D0E"/>
    <w:rsid w:val="00E94071"/>
    <w:rsid w:val="00E94230"/>
    <w:rsid w:val="00E945BF"/>
    <w:rsid w:val="00E95C17"/>
    <w:rsid w:val="00E977EC"/>
    <w:rsid w:val="00EA02AB"/>
    <w:rsid w:val="00EA07FB"/>
    <w:rsid w:val="00EA0C94"/>
    <w:rsid w:val="00EA10F2"/>
    <w:rsid w:val="00EA1277"/>
    <w:rsid w:val="00EA15E1"/>
    <w:rsid w:val="00EA24D2"/>
    <w:rsid w:val="00EA308C"/>
    <w:rsid w:val="00EA463E"/>
    <w:rsid w:val="00EA4964"/>
    <w:rsid w:val="00EA4D8B"/>
    <w:rsid w:val="00EA59C9"/>
    <w:rsid w:val="00EA622E"/>
    <w:rsid w:val="00EA6AB5"/>
    <w:rsid w:val="00EA7FAC"/>
    <w:rsid w:val="00EB050A"/>
    <w:rsid w:val="00EB2E75"/>
    <w:rsid w:val="00EB422D"/>
    <w:rsid w:val="00EB5023"/>
    <w:rsid w:val="00EB6D9A"/>
    <w:rsid w:val="00EC0CBA"/>
    <w:rsid w:val="00EC206E"/>
    <w:rsid w:val="00EC3530"/>
    <w:rsid w:val="00EC5844"/>
    <w:rsid w:val="00EC5C51"/>
    <w:rsid w:val="00EC5FF5"/>
    <w:rsid w:val="00EC6A15"/>
    <w:rsid w:val="00EC6AA9"/>
    <w:rsid w:val="00EC6D39"/>
    <w:rsid w:val="00EC79CC"/>
    <w:rsid w:val="00ED254E"/>
    <w:rsid w:val="00ED2952"/>
    <w:rsid w:val="00ED2DD0"/>
    <w:rsid w:val="00ED661F"/>
    <w:rsid w:val="00ED6A98"/>
    <w:rsid w:val="00ED71B5"/>
    <w:rsid w:val="00ED7906"/>
    <w:rsid w:val="00EE05BF"/>
    <w:rsid w:val="00EE0C10"/>
    <w:rsid w:val="00EE0D13"/>
    <w:rsid w:val="00EE1E99"/>
    <w:rsid w:val="00EE3459"/>
    <w:rsid w:val="00EE37D4"/>
    <w:rsid w:val="00EE4345"/>
    <w:rsid w:val="00EE47E7"/>
    <w:rsid w:val="00EE4DD4"/>
    <w:rsid w:val="00EE5CC3"/>
    <w:rsid w:val="00EE5F13"/>
    <w:rsid w:val="00EE7546"/>
    <w:rsid w:val="00EE7A0E"/>
    <w:rsid w:val="00EF08B4"/>
    <w:rsid w:val="00EF2088"/>
    <w:rsid w:val="00EF2976"/>
    <w:rsid w:val="00EF439F"/>
    <w:rsid w:val="00EF498C"/>
    <w:rsid w:val="00EF4FCF"/>
    <w:rsid w:val="00EF52A3"/>
    <w:rsid w:val="00EF537D"/>
    <w:rsid w:val="00EF6CD6"/>
    <w:rsid w:val="00EF6D4E"/>
    <w:rsid w:val="00F00156"/>
    <w:rsid w:val="00F00304"/>
    <w:rsid w:val="00F0095C"/>
    <w:rsid w:val="00F01873"/>
    <w:rsid w:val="00F02AB2"/>
    <w:rsid w:val="00F02CB6"/>
    <w:rsid w:val="00F05795"/>
    <w:rsid w:val="00F05A5B"/>
    <w:rsid w:val="00F0720D"/>
    <w:rsid w:val="00F07358"/>
    <w:rsid w:val="00F117DC"/>
    <w:rsid w:val="00F14CED"/>
    <w:rsid w:val="00F14F54"/>
    <w:rsid w:val="00F152C4"/>
    <w:rsid w:val="00F17BB8"/>
    <w:rsid w:val="00F17FFA"/>
    <w:rsid w:val="00F21DC5"/>
    <w:rsid w:val="00F21F44"/>
    <w:rsid w:val="00F22709"/>
    <w:rsid w:val="00F2306D"/>
    <w:rsid w:val="00F23D8E"/>
    <w:rsid w:val="00F24B60"/>
    <w:rsid w:val="00F24F13"/>
    <w:rsid w:val="00F25062"/>
    <w:rsid w:val="00F26197"/>
    <w:rsid w:val="00F26895"/>
    <w:rsid w:val="00F26F0D"/>
    <w:rsid w:val="00F2778C"/>
    <w:rsid w:val="00F30AE6"/>
    <w:rsid w:val="00F30FCF"/>
    <w:rsid w:val="00F322A0"/>
    <w:rsid w:val="00F33A8A"/>
    <w:rsid w:val="00F355BB"/>
    <w:rsid w:val="00F35EE2"/>
    <w:rsid w:val="00F35EE3"/>
    <w:rsid w:val="00F3621F"/>
    <w:rsid w:val="00F3705F"/>
    <w:rsid w:val="00F374A4"/>
    <w:rsid w:val="00F37AC1"/>
    <w:rsid w:val="00F40ECF"/>
    <w:rsid w:val="00F42043"/>
    <w:rsid w:val="00F42B84"/>
    <w:rsid w:val="00F45137"/>
    <w:rsid w:val="00F455E6"/>
    <w:rsid w:val="00F45B6C"/>
    <w:rsid w:val="00F474D7"/>
    <w:rsid w:val="00F47D83"/>
    <w:rsid w:val="00F50870"/>
    <w:rsid w:val="00F50AC2"/>
    <w:rsid w:val="00F511FB"/>
    <w:rsid w:val="00F51C34"/>
    <w:rsid w:val="00F51DB1"/>
    <w:rsid w:val="00F54008"/>
    <w:rsid w:val="00F54C1B"/>
    <w:rsid w:val="00F56209"/>
    <w:rsid w:val="00F56631"/>
    <w:rsid w:val="00F57384"/>
    <w:rsid w:val="00F575CB"/>
    <w:rsid w:val="00F61D37"/>
    <w:rsid w:val="00F61EB4"/>
    <w:rsid w:val="00F631F6"/>
    <w:rsid w:val="00F64759"/>
    <w:rsid w:val="00F64F8D"/>
    <w:rsid w:val="00F65B31"/>
    <w:rsid w:val="00F66522"/>
    <w:rsid w:val="00F66FC2"/>
    <w:rsid w:val="00F672E6"/>
    <w:rsid w:val="00F67AE4"/>
    <w:rsid w:val="00F704A3"/>
    <w:rsid w:val="00F7067F"/>
    <w:rsid w:val="00F70FA2"/>
    <w:rsid w:val="00F71A43"/>
    <w:rsid w:val="00F72BAA"/>
    <w:rsid w:val="00F73445"/>
    <w:rsid w:val="00F74ED3"/>
    <w:rsid w:val="00F76CCE"/>
    <w:rsid w:val="00F77AD8"/>
    <w:rsid w:val="00F81E08"/>
    <w:rsid w:val="00F8200C"/>
    <w:rsid w:val="00F82092"/>
    <w:rsid w:val="00F825AA"/>
    <w:rsid w:val="00F84793"/>
    <w:rsid w:val="00F84E7D"/>
    <w:rsid w:val="00F857EB"/>
    <w:rsid w:val="00F86612"/>
    <w:rsid w:val="00F9143A"/>
    <w:rsid w:val="00F91DD3"/>
    <w:rsid w:val="00F92E6F"/>
    <w:rsid w:val="00F94176"/>
    <w:rsid w:val="00F94EFF"/>
    <w:rsid w:val="00F95CAE"/>
    <w:rsid w:val="00F96E3D"/>
    <w:rsid w:val="00F975D4"/>
    <w:rsid w:val="00FA0653"/>
    <w:rsid w:val="00FA10B4"/>
    <w:rsid w:val="00FA1328"/>
    <w:rsid w:val="00FA2850"/>
    <w:rsid w:val="00FA2908"/>
    <w:rsid w:val="00FA39E0"/>
    <w:rsid w:val="00FA4057"/>
    <w:rsid w:val="00FA52B4"/>
    <w:rsid w:val="00FA5D4C"/>
    <w:rsid w:val="00FA7FCB"/>
    <w:rsid w:val="00FB034B"/>
    <w:rsid w:val="00FB1113"/>
    <w:rsid w:val="00FB1791"/>
    <w:rsid w:val="00FB1EAB"/>
    <w:rsid w:val="00FB3C06"/>
    <w:rsid w:val="00FB3D32"/>
    <w:rsid w:val="00FB4371"/>
    <w:rsid w:val="00FB47DC"/>
    <w:rsid w:val="00FB47FA"/>
    <w:rsid w:val="00FB4CB4"/>
    <w:rsid w:val="00FB4DBC"/>
    <w:rsid w:val="00FB5770"/>
    <w:rsid w:val="00FB5FCC"/>
    <w:rsid w:val="00FB7837"/>
    <w:rsid w:val="00FB793E"/>
    <w:rsid w:val="00FB7F73"/>
    <w:rsid w:val="00FC087C"/>
    <w:rsid w:val="00FC0FD0"/>
    <w:rsid w:val="00FC14BB"/>
    <w:rsid w:val="00FC2790"/>
    <w:rsid w:val="00FC2D5B"/>
    <w:rsid w:val="00FC30E9"/>
    <w:rsid w:val="00FC3F6D"/>
    <w:rsid w:val="00FC63B4"/>
    <w:rsid w:val="00FC691D"/>
    <w:rsid w:val="00FC77AC"/>
    <w:rsid w:val="00FD03F5"/>
    <w:rsid w:val="00FD12B7"/>
    <w:rsid w:val="00FD2269"/>
    <w:rsid w:val="00FD27CE"/>
    <w:rsid w:val="00FD323B"/>
    <w:rsid w:val="00FD4EA3"/>
    <w:rsid w:val="00FD5824"/>
    <w:rsid w:val="00FD7868"/>
    <w:rsid w:val="00FD7C62"/>
    <w:rsid w:val="00FE0709"/>
    <w:rsid w:val="00FE0FDE"/>
    <w:rsid w:val="00FE15EC"/>
    <w:rsid w:val="00FE1C19"/>
    <w:rsid w:val="00FE3A52"/>
    <w:rsid w:val="00FE7356"/>
    <w:rsid w:val="00FF0422"/>
    <w:rsid w:val="00FF0713"/>
    <w:rsid w:val="00FF1709"/>
    <w:rsid w:val="00FF2140"/>
    <w:rsid w:val="00FF2436"/>
    <w:rsid w:val="00FF43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5AE11"/>
  <w15:docId w15:val="{972FE5D2-80D4-4E29-859E-9E79DEBD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E2F"/>
    <w:pPr>
      <w:spacing w:after="200" w:line="276" w:lineRule="auto"/>
    </w:pPr>
    <w:rPr>
      <w:sz w:val="24"/>
    </w:rPr>
  </w:style>
  <w:style w:type="paragraph" w:styleId="Heading1">
    <w:name w:val="heading 1"/>
    <w:basedOn w:val="Normal"/>
    <w:next w:val="Normal"/>
    <w:link w:val="Heading1Char"/>
    <w:uiPriority w:val="9"/>
    <w:rsid w:val="005F63AC"/>
    <w:pPr>
      <w:keepNext/>
      <w:keepLines/>
      <w:pageBreakBefore/>
      <w:spacing w:after="600"/>
      <w:outlineLvl w:val="0"/>
    </w:pPr>
    <w:rPr>
      <w:rFonts w:ascii="Trebuchet MS" w:eastAsia="Times New Roman" w:hAnsi="Trebuchet MS" w:cs="Times New Roman"/>
      <w:b/>
      <w:bCs/>
      <w:sz w:val="52"/>
      <w:szCs w:val="52"/>
    </w:rPr>
  </w:style>
  <w:style w:type="paragraph" w:styleId="Heading2">
    <w:name w:val="heading 2"/>
    <w:basedOn w:val="Normal"/>
    <w:next w:val="Normal"/>
    <w:link w:val="Heading2Char"/>
    <w:uiPriority w:val="9"/>
    <w:unhideWhenUsed/>
    <w:qFormat/>
    <w:rsid w:val="00771E85"/>
    <w:pPr>
      <w:keepNext/>
      <w:keepLines/>
      <w:pBdr>
        <w:bottom w:val="single" w:sz="4" w:space="1" w:color="FF5E00"/>
      </w:pBdr>
      <w:spacing w:before="480" w:after="120"/>
      <w:outlineLvl w:val="1"/>
    </w:pPr>
    <w:rPr>
      <w:rFonts w:ascii="Trebuchet MS" w:eastAsia="Times New Roman" w:hAnsi="Trebuchet MS" w:cs="Times New Roman"/>
      <w:b/>
      <w:bCs/>
      <w:caps/>
      <w:color w:val="2A2A2A" w:themeColor="accent2"/>
      <w:sz w:val="36"/>
      <w:szCs w:val="36"/>
    </w:rPr>
  </w:style>
  <w:style w:type="paragraph" w:styleId="Heading3">
    <w:name w:val="heading 3"/>
    <w:basedOn w:val="Normal"/>
    <w:next w:val="Normal"/>
    <w:link w:val="Heading3Char"/>
    <w:uiPriority w:val="9"/>
    <w:unhideWhenUsed/>
    <w:qFormat/>
    <w:rsid w:val="005F63AC"/>
    <w:pPr>
      <w:keepNext/>
      <w:keepLines/>
      <w:spacing w:before="480" w:after="120"/>
      <w:ind w:left="720" w:hanging="720"/>
      <w:outlineLvl w:val="2"/>
    </w:pPr>
    <w:rPr>
      <w:rFonts w:ascii="Trebuchet MS" w:eastAsia="Times New Roman" w:hAnsi="Trebuchet MS" w:cs="Times New Roman"/>
      <w:b/>
      <w:bCs/>
      <w:sz w:val="32"/>
      <w:szCs w:val="32"/>
    </w:rPr>
  </w:style>
  <w:style w:type="paragraph" w:styleId="Heading4">
    <w:name w:val="heading 4"/>
    <w:basedOn w:val="Normal"/>
    <w:next w:val="Normal"/>
    <w:link w:val="Heading4Char"/>
    <w:uiPriority w:val="9"/>
    <w:unhideWhenUsed/>
    <w:qFormat/>
    <w:rsid w:val="00EA7FAC"/>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B859AC"/>
    <w:rPr>
      <w:rFonts w:ascii="Trebuchet MS" w:eastAsia="Calibri" w:hAnsi="Trebuchet MS" w:cs="Arial"/>
      <w:b/>
      <w:color w:val="002F6C"/>
      <w:sz w:val="72"/>
      <w:szCs w:val="72"/>
    </w:rPr>
  </w:style>
  <w:style w:type="character" w:customStyle="1" w:styleId="Heading1Char">
    <w:name w:val="Heading 1 Char"/>
    <w:basedOn w:val="DefaultParagraphFont"/>
    <w:link w:val="Heading1"/>
    <w:uiPriority w:val="9"/>
    <w:qFormat/>
    <w:rsid w:val="005F63AC"/>
    <w:rPr>
      <w:rFonts w:ascii="Trebuchet MS" w:eastAsia="Times New Roman" w:hAnsi="Trebuchet MS" w:cs="Times New Roman"/>
      <w:b/>
      <w:bCs/>
      <w:sz w:val="52"/>
      <w:szCs w:val="52"/>
    </w:rPr>
  </w:style>
  <w:style w:type="character" w:customStyle="1" w:styleId="BalloonTextChar">
    <w:name w:val="Balloon Text Char"/>
    <w:basedOn w:val="DefaultParagraphFont"/>
    <w:link w:val="BalloonText"/>
    <w:uiPriority w:val="99"/>
    <w:semiHidden/>
    <w:qFormat/>
    <w:rsid w:val="00BA19EB"/>
    <w:rPr>
      <w:rFonts w:ascii="Tahoma" w:hAnsi="Tahoma" w:cs="Tahoma"/>
      <w:sz w:val="16"/>
      <w:szCs w:val="16"/>
    </w:rPr>
  </w:style>
  <w:style w:type="character" w:customStyle="1" w:styleId="SubtitleChar">
    <w:name w:val="Subtitle Char"/>
    <w:basedOn w:val="DefaultParagraphFont"/>
    <w:link w:val="Subtitle"/>
    <w:uiPriority w:val="11"/>
    <w:qFormat/>
    <w:rsid w:val="00771E85"/>
    <w:rPr>
      <w:rFonts w:ascii="Trebuchet MS" w:eastAsia="Calibri" w:hAnsi="Trebuchet MS" w:cs="Arial"/>
      <w:b/>
      <w:color w:val="2A2A2A"/>
      <w:sz w:val="48"/>
      <w:szCs w:val="48"/>
    </w:rPr>
  </w:style>
  <w:style w:type="character" w:customStyle="1" w:styleId="Heading2Char">
    <w:name w:val="Heading 2 Char"/>
    <w:basedOn w:val="DefaultParagraphFont"/>
    <w:link w:val="Heading2"/>
    <w:uiPriority w:val="9"/>
    <w:qFormat/>
    <w:rsid w:val="00771E85"/>
    <w:rPr>
      <w:rFonts w:ascii="Trebuchet MS" w:eastAsia="Times New Roman" w:hAnsi="Trebuchet MS" w:cs="Times New Roman"/>
      <w:b/>
      <w:bCs/>
      <w:caps/>
      <w:color w:val="2A2A2A" w:themeColor="accent2"/>
      <w:sz w:val="36"/>
      <w:szCs w:val="36"/>
    </w:rPr>
  </w:style>
  <w:style w:type="character" w:customStyle="1" w:styleId="FootnoteTextChar">
    <w:name w:val="Footnote Text Char"/>
    <w:basedOn w:val="DefaultParagraphFont"/>
    <w:link w:val="FootnoteText"/>
    <w:qFormat/>
    <w:rsid w:val="00F925FD"/>
    <w:rPr>
      <w:rFonts w:ascii="Source Sans Pro" w:hAnsi="Source Sans Pro"/>
      <w:sz w:val="20"/>
      <w:szCs w:val="20"/>
    </w:rPr>
  </w:style>
  <w:style w:type="character" w:styleId="FootnoteReference">
    <w:name w:val="footnote reference"/>
    <w:basedOn w:val="DefaultParagraphFont"/>
    <w:unhideWhenUsed/>
    <w:rsid w:val="001D6F49"/>
    <w:rPr>
      <w:vertAlign w:val="superscript"/>
    </w:rPr>
  </w:style>
  <w:style w:type="character" w:styleId="IntenseEmphasis">
    <w:name w:val="Intense Emphasis"/>
    <w:basedOn w:val="DefaultParagraphFont"/>
    <w:uiPriority w:val="21"/>
    <w:rsid w:val="00277A60"/>
    <w:rPr>
      <w:b/>
      <w:bCs/>
      <w:i/>
      <w:iCs/>
      <w:color w:val="00000A"/>
      <w:sz w:val="28"/>
    </w:rPr>
  </w:style>
  <w:style w:type="character" w:customStyle="1" w:styleId="AbstractChar">
    <w:name w:val="Abstract Char"/>
    <w:basedOn w:val="DefaultParagraphFont"/>
    <w:link w:val="Abstract"/>
    <w:qFormat/>
    <w:rsid w:val="00771E85"/>
    <w:rPr>
      <w:rFonts w:eastAsia="Calibri" w:cs="Arial"/>
      <w:b/>
      <w:i/>
      <w:color w:val="FF4000"/>
      <w:sz w:val="36"/>
      <w:szCs w:val="36"/>
    </w:rPr>
  </w:style>
  <w:style w:type="character" w:customStyle="1" w:styleId="MetadataChar">
    <w:name w:val="Metadata Char"/>
    <w:basedOn w:val="DefaultParagraphFont"/>
    <w:link w:val="Metadata"/>
    <w:qFormat/>
    <w:rsid w:val="001D6F49"/>
    <w:rPr>
      <w:rFonts w:ascii="Source Sans Pro" w:eastAsia="Calibri" w:hAnsi="Source Sans Pro" w:cs="Arial"/>
      <w:color w:val="2A2A2A"/>
      <w:sz w:val="32"/>
      <w:szCs w:val="32"/>
    </w:rPr>
  </w:style>
  <w:style w:type="character" w:customStyle="1" w:styleId="QuoteChar">
    <w:name w:val="Quote Char"/>
    <w:basedOn w:val="DefaultParagraphFont"/>
    <w:link w:val="Quote"/>
    <w:uiPriority w:val="29"/>
    <w:qFormat/>
    <w:rsid w:val="001D6F49"/>
    <w:rPr>
      <w:rFonts w:ascii="Source Sans Pro" w:eastAsia="Calibri" w:hAnsi="Source Sans Pro" w:cs="Times New Roman"/>
      <w:iCs/>
      <w:color w:val="002F6C"/>
      <w:sz w:val="24"/>
    </w:rPr>
  </w:style>
  <w:style w:type="character" w:customStyle="1" w:styleId="Heading3Char">
    <w:name w:val="Heading 3 Char"/>
    <w:basedOn w:val="DefaultParagraphFont"/>
    <w:link w:val="Heading3"/>
    <w:uiPriority w:val="9"/>
    <w:qFormat/>
    <w:rsid w:val="005F63AC"/>
    <w:rPr>
      <w:rFonts w:ascii="Trebuchet MS" w:eastAsia="Times New Roman" w:hAnsi="Trebuchet MS" w:cs="Times New Roman"/>
      <w:b/>
      <w:bCs/>
      <w:sz w:val="32"/>
      <w:szCs w:val="32"/>
    </w:rPr>
  </w:style>
  <w:style w:type="character" w:customStyle="1" w:styleId="TableFigureDetailsChar">
    <w:name w:val="Table/Figure Details Char"/>
    <w:basedOn w:val="DefaultParagraphFont"/>
    <w:link w:val="TableFigureDetails"/>
    <w:qFormat/>
    <w:rsid w:val="005A4B54"/>
    <w:rPr>
      <w:rFonts w:ascii="Source Sans Pro" w:eastAsia="Calibri" w:hAnsi="Source Sans Pro" w:cs="Times New Roman"/>
      <w:iCs/>
      <w:color w:val="002F6C"/>
      <w:sz w:val="20"/>
    </w:rPr>
  </w:style>
  <w:style w:type="character" w:customStyle="1" w:styleId="HeaderChar">
    <w:name w:val="Header Char"/>
    <w:basedOn w:val="DefaultParagraphFont"/>
    <w:link w:val="Header"/>
    <w:uiPriority w:val="99"/>
    <w:qFormat/>
    <w:rsid w:val="00487442"/>
    <w:rPr>
      <w:rFonts w:ascii="Source Sans Pro" w:hAnsi="Source Sans Pro"/>
      <w:sz w:val="24"/>
    </w:rPr>
  </w:style>
  <w:style w:type="character" w:customStyle="1" w:styleId="FooterChar">
    <w:name w:val="Footer Char"/>
    <w:basedOn w:val="DefaultParagraphFont"/>
    <w:link w:val="Footer"/>
    <w:uiPriority w:val="99"/>
    <w:qFormat/>
    <w:rsid w:val="00487442"/>
    <w:rPr>
      <w:rFonts w:ascii="Source Sans Pro" w:hAnsi="Source Sans Pro"/>
      <w:sz w:val="24"/>
    </w:rPr>
  </w:style>
  <w:style w:type="character" w:customStyle="1" w:styleId="InternetLink">
    <w:name w:val="Internet Link"/>
    <w:basedOn w:val="DefaultParagraphFont"/>
    <w:unhideWhenUsed/>
    <w:rsid w:val="0070705A"/>
    <w:rPr>
      <w:color w:val="00A2FF" w:themeColor="hyperlink"/>
      <w:u w:val="single"/>
    </w:rPr>
  </w:style>
  <w:style w:type="character" w:styleId="Emphasis">
    <w:name w:val="Emphasis"/>
    <w:basedOn w:val="DefaultParagraphFont"/>
    <w:uiPriority w:val="20"/>
    <w:rsid w:val="00277A60"/>
    <w:rPr>
      <w:i/>
      <w:iCs/>
      <w:sz w:val="28"/>
    </w:rPr>
  </w:style>
  <w:style w:type="character" w:styleId="CommentReference">
    <w:name w:val="annotation reference"/>
    <w:basedOn w:val="DefaultParagraphFont"/>
    <w:uiPriority w:val="99"/>
    <w:semiHidden/>
    <w:unhideWhenUsed/>
    <w:qFormat/>
    <w:rsid w:val="0087752A"/>
    <w:rPr>
      <w:sz w:val="16"/>
      <w:szCs w:val="16"/>
    </w:rPr>
  </w:style>
  <w:style w:type="character" w:customStyle="1" w:styleId="CommentTextChar">
    <w:name w:val="Comment Text Char"/>
    <w:basedOn w:val="DefaultParagraphFont"/>
    <w:link w:val="CommentText"/>
    <w:uiPriority w:val="99"/>
    <w:qFormat/>
    <w:rsid w:val="0087752A"/>
    <w:rPr>
      <w:sz w:val="20"/>
      <w:szCs w:val="20"/>
    </w:rPr>
  </w:style>
  <w:style w:type="character" w:customStyle="1" w:styleId="CommentSubjectChar">
    <w:name w:val="Comment Subject Char"/>
    <w:basedOn w:val="CommentTextChar"/>
    <w:link w:val="CommentSubject"/>
    <w:uiPriority w:val="99"/>
    <w:semiHidden/>
    <w:qFormat/>
    <w:rsid w:val="0087752A"/>
    <w:rPr>
      <w:b/>
      <w:bCs/>
      <w:sz w:val="20"/>
      <w:szCs w:val="20"/>
    </w:rPr>
  </w:style>
  <w:style w:type="character" w:customStyle="1" w:styleId="ListLabel1">
    <w:name w:val="ListLabel 1"/>
    <w:rsid w:val="0090307D"/>
    <w:rPr>
      <w:color w:val="002F6C"/>
    </w:rPr>
  </w:style>
  <w:style w:type="character" w:customStyle="1" w:styleId="ListLabel2">
    <w:name w:val="ListLabel 2"/>
    <w:rsid w:val="0090307D"/>
    <w:rPr>
      <w:rFonts w:cs="Courier New"/>
    </w:rPr>
  </w:style>
  <w:style w:type="character" w:customStyle="1" w:styleId="ListLabel3">
    <w:name w:val="ListLabel 3"/>
    <w:rsid w:val="0090307D"/>
    <w:rPr>
      <w:rFonts w:cs="Courier New"/>
    </w:rPr>
  </w:style>
  <w:style w:type="character" w:customStyle="1" w:styleId="ListLabel4">
    <w:name w:val="ListLabel 4"/>
    <w:rsid w:val="0090307D"/>
    <w:rPr>
      <w:rFonts w:cs="Courier New"/>
    </w:rPr>
  </w:style>
  <w:style w:type="character" w:customStyle="1" w:styleId="ListLabel5">
    <w:name w:val="ListLabel 5"/>
    <w:rsid w:val="0090307D"/>
    <w:rPr>
      <w:color w:val="002F6C"/>
    </w:rPr>
  </w:style>
  <w:style w:type="character" w:customStyle="1" w:styleId="ListLabel6">
    <w:name w:val="ListLabel 6"/>
    <w:rsid w:val="0090307D"/>
    <w:rPr>
      <w:rFonts w:cs="Courier New"/>
    </w:rPr>
  </w:style>
  <w:style w:type="character" w:customStyle="1" w:styleId="ListLabel7">
    <w:name w:val="ListLabel 7"/>
    <w:rsid w:val="0090307D"/>
    <w:rPr>
      <w:rFonts w:cs="Courier New"/>
    </w:rPr>
  </w:style>
  <w:style w:type="character" w:customStyle="1" w:styleId="Heading4Char">
    <w:name w:val="Heading 4 Char"/>
    <w:basedOn w:val="DefaultParagraphFont"/>
    <w:link w:val="Heading4"/>
    <w:uiPriority w:val="9"/>
    <w:rsid w:val="00EA7FAC"/>
    <w:rPr>
      <w:rFonts w:asciiTheme="majorHAnsi" w:eastAsiaTheme="majorEastAsia" w:hAnsiTheme="majorHAnsi" w:cstheme="majorBidi"/>
      <w:b/>
      <w:iCs/>
      <w:sz w:val="24"/>
    </w:rPr>
  </w:style>
  <w:style w:type="character" w:customStyle="1" w:styleId="ListLabel10">
    <w:name w:val="ListLabel 10"/>
    <w:rsid w:val="0090307D"/>
    <w:rPr>
      <w:rFonts w:cs="Courier New"/>
    </w:rPr>
  </w:style>
  <w:style w:type="character" w:customStyle="1" w:styleId="ListLabel11">
    <w:name w:val="ListLabel 11"/>
    <w:rsid w:val="0090307D"/>
    <w:rPr>
      <w:rFonts w:cs="Courier New"/>
    </w:rPr>
  </w:style>
  <w:style w:type="character" w:customStyle="1" w:styleId="ListLabel12">
    <w:name w:val="ListLabel 12"/>
    <w:rsid w:val="0090307D"/>
    <w:rPr>
      <w:rFonts w:cs="Courier New"/>
    </w:rPr>
  </w:style>
  <w:style w:type="character" w:customStyle="1" w:styleId="ListLabel13">
    <w:name w:val="ListLabel 13"/>
    <w:rsid w:val="0090307D"/>
    <w:rPr>
      <w:rFonts w:cs="Courier New"/>
    </w:rPr>
  </w:style>
  <w:style w:type="character" w:customStyle="1" w:styleId="ListLabel14">
    <w:name w:val="ListLabel 14"/>
    <w:rsid w:val="0090307D"/>
    <w:rPr>
      <w:rFonts w:cs="Courier New"/>
    </w:rPr>
  </w:style>
  <w:style w:type="character" w:customStyle="1" w:styleId="ListLabel15">
    <w:name w:val="ListLabel 15"/>
    <w:rsid w:val="0090307D"/>
    <w:rPr>
      <w:rFonts w:cs="Courier New"/>
    </w:rPr>
  </w:style>
  <w:style w:type="character" w:customStyle="1" w:styleId="ListLabel16">
    <w:name w:val="ListLabel 16"/>
    <w:rsid w:val="0090307D"/>
    <w:rPr>
      <w:rFonts w:cs="Courier New"/>
    </w:rPr>
  </w:style>
  <w:style w:type="character" w:customStyle="1" w:styleId="ListLabel17">
    <w:name w:val="ListLabel 17"/>
    <w:rsid w:val="0090307D"/>
    <w:rPr>
      <w:rFonts w:cs="Courier New"/>
    </w:rPr>
  </w:style>
  <w:style w:type="character" w:customStyle="1" w:styleId="ListLabel18">
    <w:name w:val="ListLabel 18"/>
    <w:rsid w:val="0090307D"/>
    <w:rPr>
      <w:rFonts w:cs="Courier New"/>
    </w:rPr>
  </w:style>
  <w:style w:type="character" w:customStyle="1" w:styleId="ListLabel19">
    <w:name w:val="ListLabel 19"/>
    <w:rsid w:val="0090307D"/>
    <w:rPr>
      <w:rFonts w:cs="Courier New"/>
    </w:rPr>
  </w:style>
  <w:style w:type="character" w:customStyle="1" w:styleId="ListLabel20">
    <w:name w:val="ListLabel 20"/>
    <w:rsid w:val="0090307D"/>
    <w:rPr>
      <w:rFonts w:cs="Courier New"/>
    </w:rPr>
  </w:style>
  <w:style w:type="character" w:customStyle="1" w:styleId="ListLabel21">
    <w:name w:val="ListLabel 21"/>
    <w:rsid w:val="0090307D"/>
    <w:rPr>
      <w:rFonts w:cs="Courier New"/>
    </w:rPr>
  </w:style>
  <w:style w:type="character" w:customStyle="1" w:styleId="ListLabel22">
    <w:name w:val="ListLabel 22"/>
    <w:rsid w:val="0090307D"/>
    <w:rPr>
      <w:rFonts w:cs="Courier New"/>
    </w:rPr>
  </w:style>
  <w:style w:type="character" w:customStyle="1" w:styleId="ListLabel23">
    <w:name w:val="ListLabel 23"/>
    <w:rsid w:val="0090307D"/>
    <w:rPr>
      <w:rFonts w:cs="Courier New"/>
    </w:rPr>
  </w:style>
  <w:style w:type="character" w:customStyle="1" w:styleId="ListLabel24">
    <w:name w:val="ListLabel 24"/>
    <w:rsid w:val="0090307D"/>
    <w:rPr>
      <w:rFonts w:cs="Courier New"/>
    </w:rPr>
  </w:style>
  <w:style w:type="character" w:customStyle="1" w:styleId="ListLabel25">
    <w:name w:val="ListLabel 25"/>
    <w:rsid w:val="0090307D"/>
    <w:rPr>
      <w:rFonts w:cs="Courier New"/>
    </w:rPr>
  </w:style>
  <w:style w:type="character" w:customStyle="1" w:styleId="ListLabel26">
    <w:name w:val="ListLabel 26"/>
    <w:rsid w:val="0090307D"/>
    <w:rPr>
      <w:rFonts w:cs="Courier New"/>
    </w:rPr>
  </w:style>
  <w:style w:type="character" w:customStyle="1" w:styleId="ListLabel27">
    <w:name w:val="ListLabel 27"/>
    <w:rsid w:val="0090307D"/>
    <w:rPr>
      <w:rFonts w:cs="Courier New"/>
    </w:rPr>
  </w:style>
  <w:style w:type="character" w:customStyle="1" w:styleId="ListLabel28">
    <w:name w:val="ListLabel 28"/>
    <w:rsid w:val="0090307D"/>
    <w:rPr>
      <w:rFonts w:cs="Courier New"/>
    </w:rPr>
  </w:style>
  <w:style w:type="character" w:customStyle="1" w:styleId="ListLabel29">
    <w:name w:val="ListLabel 29"/>
    <w:rsid w:val="0090307D"/>
    <w:rPr>
      <w:rFonts w:cs="Courier New"/>
    </w:rPr>
  </w:style>
  <w:style w:type="character" w:customStyle="1" w:styleId="ListLabel30">
    <w:name w:val="ListLabel 30"/>
    <w:rsid w:val="0090307D"/>
    <w:rPr>
      <w:rFonts w:cs="Courier New"/>
    </w:rPr>
  </w:style>
  <w:style w:type="character" w:customStyle="1" w:styleId="ListLabel31">
    <w:name w:val="ListLabel 31"/>
    <w:rsid w:val="0090307D"/>
    <w:rPr>
      <w:rFonts w:cs="Courier New"/>
    </w:rPr>
  </w:style>
  <w:style w:type="character" w:customStyle="1" w:styleId="ListLabel32">
    <w:name w:val="ListLabel 32"/>
    <w:rsid w:val="0090307D"/>
    <w:rPr>
      <w:rFonts w:cs="Courier New"/>
    </w:rPr>
  </w:style>
  <w:style w:type="character" w:customStyle="1" w:styleId="ListLabel33">
    <w:name w:val="ListLabel 33"/>
    <w:rsid w:val="0090307D"/>
    <w:rPr>
      <w:rFonts w:cs="Courier New"/>
    </w:rPr>
  </w:style>
  <w:style w:type="character" w:customStyle="1" w:styleId="ListLabel34">
    <w:name w:val="ListLabel 34"/>
    <w:rsid w:val="0090307D"/>
    <w:rPr>
      <w:rFonts w:cs="Courier New"/>
    </w:rPr>
  </w:style>
  <w:style w:type="character" w:customStyle="1" w:styleId="ListLabel35">
    <w:name w:val="ListLabel 35"/>
    <w:rsid w:val="0090307D"/>
    <w:rPr>
      <w:rFonts w:cs="Courier New"/>
    </w:rPr>
  </w:style>
  <w:style w:type="character" w:customStyle="1" w:styleId="ListLabel36">
    <w:name w:val="ListLabel 36"/>
    <w:rsid w:val="0090307D"/>
    <w:rPr>
      <w:rFonts w:cs="Courier New"/>
    </w:rPr>
  </w:style>
  <w:style w:type="character" w:customStyle="1" w:styleId="ListLabel37">
    <w:name w:val="ListLabel 37"/>
    <w:rsid w:val="0090307D"/>
    <w:rPr>
      <w:rFonts w:cs="Courier New"/>
    </w:rPr>
  </w:style>
  <w:style w:type="character" w:customStyle="1" w:styleId="ListLabel38">
    <w:name w:val="ListLabel 38"/>
    <w:rsid w:val="0090307D"/>
    <w:rPr>
      <w:rFonts w:cs="Courier New"/>
    </w:rPr>
  </w:style>
  <w:style w:type="character" w:customStyle="1" w:styleId="ListLabel39">
    <w:name w:val="ListLabel 39"/>
    <w:rsid w:val="0090307D"/>
    <w:rPr>
      <w:rFonts w:cs="Courier New"/>
    </w:rPr>
  </w:style>
  <w:style w:type="character" w:customStyle="1" w:styleId="ListLabel40">
    <w:name w:val="ListLabel 40"/>
    <w:rsid w:val="0090307D"/>
    <w:rPr>
      <w:rFonts w:cs="Courier New"/>
    </w:rPr>
  </w:style>
  <w:style w:type="character" w:customStyle="1" w:styleId="ListLabel41">
    <w:name w:val="ListLabel 41"/>
    <w:rsid w:val="0090307D"/>
    <w:rPr>
      <w:rFonts w:cs="Courier New"/>
    </w:rPr>
  </w:style>
  <w:style w:type="character" w:customStyle="1" w:styleId="ListLabel42">
    <w:name w:val="ListLabel 42"/>
    <w:rsid w:val="0090307D"/>
    <w:rPr>
      <w:rFonts w:cs="Courier New"/>
    </w:rPr>
  </w:style>
  <w:style w:type="character" w:customStyle="1" w:styleId="ListLabel43">
    <w:name w:val="ListLabel 43"/>
    <w:rsid w:val="0090307D"/>
    <w:rPr>
      <w:rFonts w:cs="Courier New"/>
    </w:rPr>
  </w:style>
  <w:style w:type="character" w:customStyle="1" w:styleId="ListLabel44">
    <w:name w:val="ListLabel 44"/>
    <w:rsid w:val="0090307D"/>
    <w:rPr>
      <w:rFonts w:cs="Courier New"/>
    </w:rPr>
  </w:style>
  <w:style w:type="character" w:customStyle="1" w:styleId="ListLabel45">
    <w:name w:val="ListLabel 45"/>
    <w:rsid w:val="0090307D"/>
    <w:rPr>
      <w:rFonts w:cs="Courier New"/>
    </w:rPr>
  </w:style>
  <w:style w:type="character" w:customStyle="1" w:styleId="ListLabel46">
    <w:name w:val="ListLabel 46"/>
    <w:rsid w:val="0090307D"/>
    <w:rPr>
      <w:rFonts w:cs="Courier New"/>
    </w:rPr>
  </w:style>
  <w:style w:type="character" w:customStyle="1" w:styleId="ListLabel47">
    <w:name w:val="ListLabel 47"/>
    <w:rsid w:val="0090307D"/>
    <w:rPr>
      <w:rFonts w:cs="Courier New"/>
    </w:rPr>
  </w:style>
  <w:style w:type="character" w:customStyle="1" w:styleId="ListLabel48">
    <w:name w:val="ListLabel 48"/>
    <w:rsid w:val="0090307D"/>
    <w:rPr>
      <w:rFonts w:cs="Courier New"/>
    </w:rPr>
  </w:style>
  <w:style w:type="character" w:customStyle="1" w:styleId="ListLabel49">
    <w:name w:val="ListLabel 49"/>
    <w:rsid w:val="0090307D"/>
    <w:rPr>
      <w:rFonts w:cs="Courier New"/>
    </w:rPr>
  </w:style>
  <w:style w:type="character" w:customStyle="1" w:styleId="ListLabel50">
    <w:name w:val="ListLabel 50"/>
    <w:rsid w:val="0090307D"/>
    <w:rPr>
      <w:rFonts w:cs="Courier New"/>
    </w:rPr>
  </w:style>
  <w:style w:type="character" w:customStyle="1" w:styleId="ListLabel51">
    <w:name w:val="ListLabel 51"/>
    <w:rsid w:val="0090307D"/>
    <w:rPr>
      <w:rFonts w:cs="Courier New"/>
    </w:rPr>
  </w:style>
  <w:style w:type="character" w:customStyle="1" w:styleId="ListLabel52">
    <w:name w:val="ListLabel 52"/>
    <w:rsid w:val="0090307D"/>
    <w:rPr>
      <w:rFonts w:cs="Courier New"/>
    </w:rPr>
  </w:style>
  <w:style w:type="character" w:customStyle="1" w:styleId="ListLabel53">
    <w:name w:val="ListLabel 53"/>
    <w:rsid w:val="0090307D"/>
    <w:rPr>
      <w:rFonts w:cs="Courier New"/>
    </w:rPr>
  </w:style>
  <w:style w:type="character" w:customStyle="1" w:styleId="ListLabel54">
    <w:name w:val="ListLabel 54"/>
    <w:rsid w:val="0090307D"/>
    <w:rPr>
      <w:rFonts w:cs="Courier New"/>
    </w:rPr>
  </w:style>
  <w:style w:type="character" w:customStyle="1" w:styleId="ListLabel55">
    <w:name w:val="ListLabel 55"/>
    <w:rsid w:val="0090307D"/>
    <w:rPr>
      <w:rFonts w:cs="Courier New"/>
    </w:rPr>
  </w:style>
  <w:style w:type="character" w:customStyle="1" w:styleId="ListLabel56">
    <w:name w:val="ListLabel 56"/>
    <w:rsid w:val="0090307D"/>
    <w:rPr>
      <w:rFonts w:cs="Courier New"/>
    </w:rPr>
  </w:style>
  <w:style w:type="character" w:customStyle="1" w:styleId="ListLabel57">
    <w:name w:val="ListLabel 57"/>
    <w:rsid w:val="0090307D"/>
    <w:rPr>
      <w:rFonts w:cs="Courier New"/>
    </w:rPr>
  </w:style>
  <w:style w:type="character" w:customStyle="1" w:styleId="ListLabel58">
    <w:name w:val="ListLabel 58"/>
    <w:rsid w:val="0090307D"/>
    <w:rPr>
      <w:rFonts w:cs="Courier New"/>
    </w:rPr>
  </w:style>
  <w:style w:type="character" w:customStyle="1" w:styleId="ListLabel59">
    <w:name w:val="ListLabel 59"/>
    <w:rsid w:val="0090307D"/>
    <w:rPr>
      <w:rFonts w:cs="Courier New"/>
    </w:rPr>
  </w:style>
  <w:style w:type="character" w:customStyle="1" w:styleId="ListLabel60">
    <w:name w:val="ListLabel 60"/>
    <w:rsid w:val="0090307D"/>
    <w:rPr>
      <w:rFonts w:cs="Courier New"/>
    </w:rPr>
  </w:style>
  <w:style w:type="character" w:customStyle="1" w:styleId="ListLabel61">
    <w:name w:val="ListLabel 61"/>
    <w:rsid w:val="0090307D"/>
    <w:rPr>
      <w:rFonts w:cs="Courier New"/>
    </w:rPr>
  </w:style>
  <w:style w:type="character" w:customStyle="1" w:styleId="ListLabel62">
    <w:name w:val="ListLabel 62"/>
    <w:rsid w:val="0090307D"/>
    <w:rPr>
      <w:rFonts w:cs="Courier New"/>
    </w:rPr>
  </w:style>
  <w:style w:type="character" w:customStyle="1" w:styleId="ListLabel63">
    <w:name w:val="ListLabel 63"/>
    <w:rsid w:val="0090307D"/>
    <w:rPr>
      <w:rFonts w:cs="Courier New"/>
    </w:rPr>
  </w:style>
  <w:style w:type="character" w:customStyle="1" w:styleId="ListLabel64">
    <w:name w:val="ListLabel 64"/>
    <w:rsid w:val="0090307D"/>
    <w:rPr>
      <w:rFonts w:cs="Courier New"/>
    </w:rPr>
  </w:style>
  <w:style w:type="character" w:customStyle="1" w:styleId="ListLabel65">
    <w:name w:val="ListLabel 65"/>
    <w:rsid w:val="0090307D"/>
    <w:rPr>
      <w:rFonts w:cs="Courier New"/>
    </w:rPr>
  </w:style>
  <w:style w:type="character" w:customStyle="1" w:styleId="ListLabel66">
    <w:name w:val="ListLabel 66"/>
    <w:rsid w:val="0090307D"/>
    <w:rPr>
      <w:rFonts w:cs="Courier New"/>
    </w:rPr>
  </w:style>
  <w:style w:type="character" w:customStyle="1" w:styleId="ListLabel67">
    <w:name w:val="ListLabel 67"/>
    <w:rsid w:val="0090307D"/>
    <w:rPr>
      <w:rFonts w:cs="Courier New"/>
    </w:rPr>
  </w:style>
  <w:style w:type="character" w:customStyle="1" w:styleId="ListLabel68">
    <w:name w:val="ListLabel 68"/>
    <w:rsid w:val="0090307D"/>
    <w:rPr>
      <w:rFonts w:cs="Courier New"/>
    </w:rPr>
  </w:style>
  <w:style w:type="character" w:customStyle="1" w:styleId="ListLabel69">
    <w:name w:val="ListLabel 69"/>
    <w:rsid w:val="0090307D"/>
    <w:rPr>
      <w:rFonts w:cs="Courier New"/>
    </w:rPr>
  </w:style>
  <w:style w:type="character" w:customStyle="1" w:styleId="ListLabel70">
    <w:name w:val="ListLabel 70"/>
    <w:rsid w:val="0090307D"/>
    <w:rPr>
      <w:rFonts w:cs="Courier New"/>
    </w:rPr>
  </w:style>
  <w:style w:type="character" w:customStyle="1" w:styleId="ListLabel71">
    <w:name w:val="ListLabel 71"/>
    <w:rsid w:val="0090307D"/>
    <w:rPr>
      <w:rFonts w:cs="Courier New"/>
    </w:rPr>
  </w:style>
  <w:style w:type="character" w:customStyle="1" w:styleId="ListLabel72">
    <w:name w:val="ListLabel 72"/>
    <w:rsid w:val="0090307D"/>
    <w:rPr>
      <w:rFonts w:cs="Courier New"/>
    </w:rPr>
  </w:style>
  <w:style w:type="character" w:customStyle="1" w:styleId="ListLabel73">
    <w:name w:val="ListLabel 73"/>
    <w:rsid w:val="0090307D"/>
    <w:rPr>
      <w:rFonts w:cs="Courier New"/>
    </w:rPr>
  </w:style>
  <w:style w:type="character" w:customStyle="1" w:styleId="ListLabel74">
    <w:name w:val="ListLabel 74"/>
    <w:rsid w:val="0090307D"/>
    <w:rPr>
      <w:rFonts w:cs="Courier New"/>
    </w:rPr>
  </w:style>
  <w:style w:type="character" w:customStyle="1" w:styleId="ListLabel75">
    <w:name w:val="ListLabel 75"/>
    <w:rsid w:val="0090307D"/>
    <w:rPr>
      <w:rFonts w:cs="Courier New"/>
    </w:rPr>
  </w:style>
  <w:style w:type="character" w:customStyle="1" w:styleId="ListLabel76">
    <w:name w:val="ListLabel 76"/>
    <w:rsid w:val="00481536"/>
    <w:rPr>
      <w:rFonts w:cs="Courier New"/>
    </w:rPr>
  </w:style>
  <w:style w:type="character" w:customStyle="1" w:styleId="FootnoteCharacters">
    <w:name w:val="Footnote Characters"/>
    <w:rsid w:val="00481536"/>
  </w:style>
  <w:style w:type="character" w:customStyle="1" w:styleId="FootnoteAnchor">
    <w:name w:val="Footnote Anchor"/>
    <w:rsid w:val="00481536"/>
    <w:rPr>
      <w:vertAlign w:val="superscript"/>
    </w:rPr>
  </w:style>
  <w:style w:type="character" w:customStyle="1" w:styleId="EndnoteAnchor">
    <w:name w:val="Endnote Anchor"/>
    <w:rsid w:val="00481536"/>
    <w:rPr>
      <w:vertAlign w:val="superscript"/>
    </w:rPr>
  </w:style>
  <w:style w:type="character" w:customStyle="1" w:styleId="EndnoteCharacters">
    <w:name w:val="Endnote Characters"/>
    <w:rsid w:val="00481536"/>
  </w:style>
  <w:style w:type="paragraph" w:customStyle="1" w:styleId="Heading">
    <w:name w:val="Heading"/>
    <w:basedOn w:val="Normal"/>
    <w:next w:val="BodyText"/>
    <w:rsid w:val="0090307D"/>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90307D"/>
    <w:pPr>
      <w:spacing w:after="140" w:line="288" w:lineRule="auto"/>
    </w:pPr>
  </w:style>
  <w:style w:type="paragraph" w:styleId="List">
    <w:name w:val="List"/>
    <w:basedOn w:val="BodyText"/>
    <w:rsid w:val="0090307D"/>
    <w:rPr>
      <w:rFonts w:cs="FreeSans"/>
    </w:rPr>
  </w:style>
  <w:style w:type="paragraph" w:styleId="Caption">
    <w:name w:val="caption"/>
    <w:basedOn w:val="Normal"/>
    <w:next w:val="Normal"/>
    <w:autoRedefine/>
    <w:uiPriority w:val="35"/>
    <w:unhideWhenUsed/>
    <w:qFormat/>
    <w:rsid w:val="00BE38E9"/>
    <w:pPr>
      <w:keepNext/>
      <w:spacing w:after="0" w:line="240" w:lineRule="auto"/>
    </w:pPr>
    <w:rPr>
      <w:b/>
      <w:bCs/>
      <w:sz w:val="22"/>
      <w:lang w:val="en-US"/>
    </w:rPr>
  </w:style>
  <w:style w:type="paragraph" w:customStyle="1" w:styleId="Index">
    <w:name w:val="Index"/>
    <w:basedOn w:val="Normal"/>
    <w:rsid w:val="0090307D"/>
    <w:pPr>
      <w:suppressLineNumbers/>
    </w:pPr>
    <w:rPr>
      <w:rFonts w:cs="FreeSans"/>
    </w:rPr>
  </w:style>
  <w:style w:type="paragraph" w:styleId="Title">
    <w:name w:val="Title"/>
    <w:basedOn w:val="Normal"/>
    <w:next w:val="Normal"/>
    <w:link w:val="TitleChar"/>
    <w:uiPriority w:val="10"/>
    <w:rsid w:val="00B859AC"/>
    <w:pPr>
      <w:spacing w:after="0" w:line="240" w:lineRule="auto"/>
    </w:pPr>
    <w:rPr>
      <w:rFonts w:ascii="Trebuchet MS" w:eastAsia="Calibri" w:hAnsi="Trebuchet MS" w:cs="Arial"/>
      <w:b/>
      <w:color w:val="002F6C"/>
      <w:sz w:val="72"/>
      <w:szCs w:val="72"/>
    </w:rPr>
  </w:style>
  <w:style w:type="paragraph" w:styleId="ListParagraph">
    <w:name w:val="List Paragraph"/>
    <w:basedOn w:val="Normal"/>
    <w:uiPriority w:val="34"/>
    <w:qFormat/>
    <w:rsid w:val="00BA19EB"/>
    <w:pPr>
      <w:ind w:left="720"/>
      <w:contextualSpacing/>
    </w:pPr>
  </w:style>
  <w:style w:type="paragraph" w:styleId="BalloonText">
    <w:name w:val="Balloon Text"/>
    <w:basedOn w:val="Normal"/>
    <w:link w:val="BalloonTextChar"/>
    <w:uiPriority w:val="99"/>
    <w:semiHidden/>
    <w:unhideWhenUsed/>
    <w:qFormat/>
    <w:rsid w:val="00BA19EB"/>
    <w:pPr>
      <w:spacing w:after="0" w:line="240" w:lineRule="auto"/>
    </w:pPr>
    <w:rPr>
      <w:rFonts w:ascii="Tahoma" w:hAnsi="Tahoma" w:cs="Tahoma"/>
      <w:sz w:val="16"/>
      <w:szCs w:val="16"/>
    </w:rPr>
  </w:style>
  <w:style w:type="paragraph" w:styleId="Subtitle">
    <w:name w:val="Subtitle"/>
    <w:basedOn w:val="Normal"/>
    <w:next w:val="Normal"/>
    <w:link w:val="SubtitleChar"/>
    <w:uiPriority w:val="11"/>
    <w:qFormat/>
    <w:rsid w:val="00771E85"/>
    <w:pPr>
      <w:spacing w:after="0" w:line="240" w:lineRule="auto"/>
      <w:ind w:left="340" w:right="340"/>
    </w:pPr>
    <w:rPr>
      <w:rFonts w:ascii="Trebuchet MS" w:eastAsia="Calibri" w:hAnsi="Trebuchet MS" w:cs="Arial"/>
      <w:b/>
      <w:color w:val="2A2A2A"/>
      <w:sz w:val="48"/>
      <w:szCs w:val="48"/>
    </w:rPr>
  </w:style>
  <w:style w:type="paragraph" w:styleId="FootnoteText">
    <w:name w:val="footnote text"/>
    <w:basedOn w:val="Normal"/>
    <w:link w:val="FootnoteTextChar"/>
    <w:rsid w:val="00481536"/>
  </w:style>
  <w:style w:type="paragraph" w:customStyle="1" w:styleId="Abstract">
    <w:name w:val="Abstract"/>
    <w:basedOn w:val="Normal"/>
    <w:link w:val="AbstractChar"/>
    <w:rsid w:val="00771E85"/>
    <w:pPr>
      <w:spacing w:before="120" w:after="360" w:line="240" w:lineRule="auto"/>
      <w:ind w:left="340" w:right="340"/>
      <w:jc w:val="center"/>
    </w:pPr>
    <w:rPr>
      <w:rFonts w:eastAsia="Calibri" w:cs="Arial"/>
      <w:b/>
      <w:i/>
      <w:color w:val="FF4000"/>
      <w:sz w:val="36"/>
      <w:szCs w:val="36"/>
    </w:rPr>
  </w:style>
  <w:style w:type="paragraph" w:customStyle="1" w:styleId="Metadata">
    <w:name w:val="Metadata"/>
    <w:basedOn w:val="Normal"/>
    <w:link w:val="MetadataChar"/>
    <w:rsid w:val="001D6F49"/>
    <w:rPr>
      <w:rFonts w:eastAsia="Calibri" w:cs="Arial"/>
      <w:color w:val="2A2A2A"/>
      <w:sz w:val="32"/>
      <w:szCs w:val="32"/>
    </w:rPr>
  </w:style>
  <w:style w:type="paragraph" w:styleId="Quote">
    <w:name w:val="Quote"/>
    <w:basedOn w:val="Normal"/>
    <w:next w:val="Normal"/>
    <w:link w:val="QuoteChar"/>
    <w:uiPriority w:val="29"/>
    <w:qFormat/>
    <w:rsid w:val="001D6F49"/>
    <w:pPr>
      <w:ind w:left="680"/>
    </w:pPr>
    <w:rPr>
      <w:rFonts w:eastAsia="Calibri" w:cs="Times New Roman"/>
      <w:iCs/>
      <w:color w:val="002F6C"/>
    </w:rPr>
  </w:style>
  <w:style w:type="paragraph" w:customStyle="1" w:styleId="TableFigureDetails">
    <w:name w:val="Table/Figure Details"/>
    <w:basedOn w:val="Normal"/>
    <w:link w:val="TableFigureDetailsChar"/>
    <w:rsid w:val="005A4B54"/>
    <w:pPr>
      <w:ind w:left="680"/>
    </w:pPr>
    <w:rPr>
      <w:rFonts w:eastAsia="Calibri" w:cs="Times New Roman"/>
      <w:iCs/>
      <w:color w:val="002F6C"/>
      <w:sz w:val="20"/>
    </w:rPr>
  </w:style>
  <w:style w:type="paragraph" w:styleId="Header">
    <w:name w:val="header"/>
    <w:basedOn w:val="Normal"/>
    <w:link w:val="HeaderChar"/>
    <w:uiPriority w:val="99"/>
    <w:unhideWhenUsed/>
    <w:rsid w:val="00487442"/>
    <w:pPr>
      <w:tabs>
        <w:tab w:val="center" w:pos="4513"/>
        <w:tab w:val="right" w:pos="9026"/>
      </w:tabs>
      <w:spacing w:after="0" w:line="240" w:lineRule="auto"/>
    </w:pPr>
  </w:style>
  <w:style w:type="paragraph" w:styleId="Footer">
    <w:name w:val="footer"/>
    <w:basedOn w:val="Normal"/>
    <w:link w:val="FooterChar"/>
    <w:uiPriority w:val="99"/>
    <w:unhideWhenUsed/>
    <w:rsid w:val="00487442"/>
    <w:pPr>
      <w:tabs>
        <w:tab w:val="center" w:pos="4513"/>
        <w:tab w:val="right" w:pos="9026"/>
      </w:tabs>
      <w:spacing w:after="0" w:line="240" w:lineRule="auto"/>
    </w:pPr>
  </w:style>
  <w:style w:type="paragraph" w:styleId="TOCHeading">
    <w:name w:val="TOC Heading"/>
    <w:basedOn w:val="Heading1"/>
    <w:next w:val="Normal"/>
    <w:uiPriority w:val="39"/>
    <w:semiHidden/>
    <w:unhideWhenUsed/>
    <w:qFormat/>
    <w:rsid w:val="00E04A71"/>
    <w:pPr>
      <w:pageBreakBefore w:val="0"/>
      <w:spacing w:before="480" w:after="0"/>
    </w:pPr>
    <w:rPr>
      <w:rFonts w:asciiTheme="majorHAnsi" w:eastAsiaTheme="majorEastAsia" w:hAnsiTheme="majorHAnsi" w:cstheme="majorBidi"/>
      <w:color w:val="002250" w:themeColor="accent1" w:themeShade="BF"/>
      <w:sz w:val="28"/>
      <w:szCs w:val="28"/>
      <w:lang w:val="en-US" w:eastAsia="ja-JP"/>
    </w:rPr>
  </w:style>
  <w:style w:type="paragraph" w:styleId="TOC2">
    <w:name w:val="toc 2"/>
    <w:basedOn w:val="Normal"/>
    <w:next w:val="Normal"/>
    <w:autoRedefine/>
    <w:uiPriority w:val="39"/>
    <w:unhideWhenUsed/>
    <w:rsid w:val="00CA2D0D"/>
    <w:pPr>
      <w:tabs>
        <w:tab w:val="right" w:leader="dot" w:pos="8494"/>
      </w:tabs>
      <w:spacing w:after="100"/>
      <w:ind w:left="240"/>
    </w:pPr>
  </w:style>
  <w:style w:type="paragraph" w:styleId="TOC1">
    <w:name w:val="toc 1"/>
    <w:basedOn w:val="Normal"/>
    <w:next w:val="Normal"/>
    <w:autoRedefine/>
    <w:uiPriority w:val="39"/>
    <w:unhideWhenUsed/>
    <w:rsid w:val="00E04A71"/>
    <w:pPr>
      <w:spacing w:after="100"/>
    </w:pPr>
  </w:style>
  <w:style w:type="paragraph" w:styleId="TOC3">
    <w:name w:val="toc 3"/>
    <w:basedOn w:val="Normal"/>
    <w:next w:val="Normal"/>
    <w:autoRedefine/>
    <w:uiPriority w:val="39"/>
    <w:unhideWhenUsed/>
    <w:rsid w:val="00CA2D0D"/>
    <w:pPr>
      <w:tabs>
        <w:tab w:val="right" w:leader="dot" w:pos="8494"/>
      </w:tabs>
      <w:spacing w:after="100"/>
      <w:ind w:left="240"/>
    </w:pPr>
  </w:style>
  <w:style w:type="paragraph" w:customStyle="1" w:styleId="Titleintro">
    <w:name w:val="Title intro"/>
    <w:next w:val="Normal"/>
    <w:rsid w:val="00277A60"/>
    <w:rPr>
      <w:rFonts w:ascii="Gill Sans SemiBold" w:eastAsiaTheme="majorEastAsia" w:hAnsi="Gill Sans SemiBold" w:cstheme="majorBidi"/>
      <w:b/>
      <w:bCs/>
      <w:caps/>
      <w:color w:val="2A2A2A" w:themeColor="text1"/>
      <w:sz w:val="36"/>
      <w:szCs w:val="36"/>
      <w:lang w:val="en-US"/>
    </w:rPr>
  </w:style>
  <w:style w:type="paragraph" w:styleId="CommentText">
    <w:name w:val="annotation text"/>
    <w:basedOn w:val="Normal"/>
    <w:link w:val="CommentTextChar"/>
    <w:uiPriority w:val="99"/>
    <w:unhideWhenUsed/>
    <w:qFormat/>
    <w:rsid w:val="0087752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7752A"/>
    <w:rPr>
      <w:b/>
      <w:bCs/>
    </w:rPr>
  </w:style>
  <w:style w:type="table" w:styleId="TableGrid">
    <w:name w:val="Table Grid"/>
    <w:basedOn w:val="TableNormal"/>
    <w:uiPriority w:val="59"/>
    <w:rsid w:val="0096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925FD"/>
    <w:tblPr>
      <w:tblStyleRowBandSize w:val="1"/>
      <w:tblStyleColBandSize w:val="1"/>
      <w:tblBorders>
        <w:top w:val="single" w:sz="8" w:space="0" w:color="002F6C" w:themeColor="accent1"/>
        <w:left w:val="single" w:sz="8" w:space="0" w:color="002F6C" w:themeColor="accent1"/>
        <w:bottom w:val="single" w:sz="8" w:space="0" w:color="002F6C" w:themeColor="accent1"/>
        <w:right w:val="single" w:sz="8" w:space="0" w:color="002F6C" w:themeColor="accent1"/>
      </w:tblBorders>
    </w:tblPr>
    <w:tblStylePr w:type="firstRow">
      <w:pPr>
        <w:spacing w:before="0" w:after="0" w:line="240" w:lineRule="auto"/>
      </w:pPr>
      <w:rPr>
        <w:b/>
        <w:bCs/>
        <w:color w:val="FFFFFF" w:themeColor="background1"/>
      </w:rPr>
      <w:tblPr/>
      <w:tcPr>
        <w:shd w:val="clear" w:color="auto" w:fill="002F6C" w:themeFill="accent1"/>
      </w:tcPr>
    </w:tblStylePr>
    <w:tblStylePr w:type="lastRow">
      <w:pPr>
        <w:spacing w:before="0" w:after="0" w:line="240" w:lineRule="auto"/>
      </w:pPr>
      <w:rPr>
        <w:b/>
        <w:bCs/>
      </w:rPr>
      <w:tblPr/>
      <w:tcPr>
        <w:tcBorders>
          <w:top w:val="double" w:sz="6" w:space="0" w:color="002F6C" w:themeColor="accent1"/>
          <w:left w:val="single" w:sz="8" w:space="0" w:color="002F6C" w:themeColor="accent1"/>
          <w:bottom w:val="single" w:sz="8" w:space="0" w:color="002F6C" w:themeColor="accent1"/>
          <w:right w:val="single" w:sz="8" w:space="0" w:color="002F6C" w:themeColor="accent1"/>
        </w:tcBorders>
      </w:tcPr>
    </w:tblStylePr>
    <w:tblStylePr w:type="firstCol">
      <w:rPr>
        <w:b/>
        <w:bCs/>
      </w:rPr>
    </w:tblStylePr>
    <w:tblStylePr w:type="lastCol">
      <w:rPr>
        <w:b/>
        <w:bCs/>
      </w:rPr>
    </w:tblStylePr>
    <w:tblStylePr w:type="band1Vert">
      <w:tblPr/>
      <w:tcPr>
        <w:tcBorders>
          <w:top w:val="single" w:sz="8" w:space="0" w:color="002F6C" w:themeColor="accent1"/>
          <w:left w:val="single" w:sz="8" w:space="0" w:color="002F6C" w:themeColor="accent1"/>
          <w:bottom w:val="single" w:sz="8" w:space="0" w:color="002F6C" w:themeColor="accent1"/>
          <w:right w:val="single" w:sz="8" w:space="0" w:color="002F6C" w:themeColor="accent1"/>
        </w:tcBorders>
      </w:tcPr>
    </w:tblStylePr>
    <w:tblStylePr w:type="band1Horz">
      <w:tblPr/>
      <w:tcPr>
        <w:tcBorders>
          <w:top w:val="single" w:sz="8" w:space="0" w:color="002F6C" w:themeColor="accent1"/>
          <w:left w:val="single" w:sz="8" w:space="0" w:color="002F6C" w:themeColor="accent1"/>
          <w:bottom w:val="single" w:sz="8" w:space="0" w:color="002F6C" w:themeColor="accent1"/>
          <w:right w:val="single" w:sz="8" w:space="0" w:color="002F6C" w:themeColor="accent1"/>
        </w:tcBorders>
      </w:tcPr>
    </w:tblStylePr>
  </w:style>
  <w:style w:type="table" w:customStyle="1" w:styleId="TableGrid1">
    <w:name w:val="Table Grid1"/>
    <w:basedOn w:val="TableNormal"/>
    <w:uiPriority w:val="59"/>
    <w:rsid w:val="00A8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575F6"/>
  </w:style>
  <w:style w:type="paragraph" w:customStyle="1" w:styleId="Subhead">
    <w:name w:val="Subhead"/>
    <w:basedOn w:val="Normal"/>
    <w:rsid w:val="00B575F6"/>
    <w:rPr>
      <w:rFonts w:eastAsia="Calibri" w:cs="Times New Roman"/>
      <w:b/>
      <w:i/>
      <w:color w:val="002F6C" w:themeColor="accent1"/>
    </w:rPr>
  </w:style>
  <w:style w:type="paragraph" w:styleId="Revision">
    <w:name w:val="Revision"/>
    <w:hidden/>
    <w:uiPriority w:val="99"/>
    <w:semiHidden/>
    <w:rsid w:val="008E2437"/>
    <w:rPr>
      <w:sz w:val="24"/>
    </w:rPr>
  </w:style>
  <w:style w:type="paragraph" w:styleId="TOC4">
    <w:name w:val="toc 4"/>
    <w:basedOn w:val="Normal"/>
    <w:next w:val="Normal"/>
    <w:autoRedefine/>
    <w:uiPriority w:val="39"/>
    <w:unhideWhenUsed/>
    <w:rsid w:val="003456B5"/>
    <w:pPr>
      <w:ind w:left="720"/>
    </w:pPr>
  </w:style>
  <w:style w:type="paragraph" w:styleId="TOC5">
    <w:name w:val="toc 5"/>
    <w:basedOn w:val="Normal"/>
    <w:next w:val="Normal"/>
    <w:autoRedefine/>
    <w:uiPriority w:val="39"/>
    <w:unhideWhenUsed/>
    <w:rsid w:val="003456B5"/>
    <w:pPr>
      <w:ind w:left="960"/>
    </w:pPr>
  </w:style>
  <w:style w:type="paragraph" w:styleId="TOC6">
    <w:name w:val="toc 6"/>
    <w:basedOn w:val="Normal"/>
    <w:next w:val="Normal"/>
    <w:autoRedefine/>
    <w:uiPriority w:val="39"/>
    <w:unhideWhenUsed/>
    <w:rsid w:val="003456B5"/>
    <w:pPr>
      <w:ind w:left="1200"/>
    </w:pPr>
  </w:style>
  <w:style w:type="paragraph" w:styleId="TOC7">
    <w:name w:val="toc 7"/>
    <w:basedOn w:val="Normal"/>
    <w:next w:val="Normal"/>
    <w:autoRedefine/>
    <w:uiPriority w:val="39"/>
    <w:unhideWhenUsed/>
    <w:rsid w:val="003456B5"/>
    <w:pPr>
      <w:ind w:left="1440"/>
    </w:pPr>
  </w:style>
  <w:style w:type="paragraph" w:styleId="TOC8">
    <w:name w:val="toc 8"/>
    <w:basedOn w:val="Normal"/>
    <w:next w:val="Normal"/>
    <w:autoRedefine/>
    <w:uiPriority w:val="39"/>
    <w:unhideWhenUsed/>
    <w:rsid w:val="003456B5"/>
    <w:pPr>
      <w:ind w:left="1680"/>
    </w:pPr>
  </w:style>
  <w:style w:type="paragraph" w:styleId="TOC9">
    <w:name w:val="toc 9"/>
    <w:basedOn w:val="Normal"/>
    <w:next w:val="Normal"/>
    <w:autoRedefine/>
    <w:uiPriority w:val="39"/>
    <w:unhideWhenUsed/>
    <w:rsid w:val="003456B5"/>
    <w:pPr>
      <w:ind w:left="1920"/>
    </w:pPr>
  </w:style>
  <w:style w:type="character" w:styleId="Hyperlink">
    <w:name w:val="Hyperlink"/>
    <w:basedOn w:val="DefaultParagraphFont"/>
    <w:uiPriority w:val="99"/>
    <w:unhideWhenUsed/>
    <w:rsid w:val="003456B5"/>
    <w:rPr>
      <w:color w:val="00A2FF" w:themeColor="hyperlink"/>
      <w:u w:val="single"/>
    </w:rPr>
  </w:style>
  <w:style w:type="paragraph" w:styleId="DocumentMap">
    <w:name w:val="Document Map"/>
    <w:basedOn w:val="Normal"/>
    <w:link w:val="DocumentMapChar"/>
    <w:uiPriority w:val="99"/>
    <w:semiHidden/>
    <w:unhideWhenUsed/>
    <w:rsid w:val="00640CDC"/>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640CDC"/>
    <w:rPr>
      <w:rFonts w:ascii="Times New Roman" w:hAnsi="Times New Roman" w:cs="Times New Roman"/>
      <w:sz w:val="24"/>
      <w:szCs w:val="24"/>
    </w:rPr>
  </w:style>
  <w:style w:type="paragraph" w:styleId="Bibliography">
    <w:name w:val="Bibliography"/>
    <w:basedOn w:val="Normal"/>
    <w:next w:val="Normal"/>
    <w:uiPriority w:val="37"/>
    <w:unhideWhenUsed/>
    <w:rsid w:val="00386B35"/>
    <w:pPr>
      <w:spacing w:after="0" w:line="240" w:lineRule="auto"/>
      <w:ind w:left="720" w:hanging="720"/>
    </w:pPr>
  </w:style>
  <w:style w:type="character" w:styleId="EndnoteReference">
    <w:name w:val="endnote reference"/>
    <w:basedOn w:val="DefaultParagraphFont"/>
    <w:uiPriority w:val="99"/>
    <w:semiHidden/>
    <w:unhideWhenUsed/>
    <w:rsid w:val="00410A53"/>
    <w:rPr>
      <w:vertAlign w:val="superscript"/>
    </w:rPr>
  </w:style>
  <w:style w:type="table" w:styleId="LightList-Accent2">
    <w:name w:val="Light List Accent 2"/>
    <w:basedOn w:val="TableNormal"/>
    <w:uiPriority w:val="61"/>
    <w:rsid w:val="00DE70AB"/>
    <w:tblPr>
      <w:tblStyleRowBandSize w:val="1"/>
      <w:tblStyleColBandSize w:val="1"/>
      <w:tblBorders>
        <w:top w:val="single" w:sz="8" w:space="0" w:color="2A2A2A" w:themeColor="accent2"/>
        <w:left w:val="single" w:sz="8" w:space="0" w:color="2A2A2A" w:themeColor="accent2"/>
        <w:bottom w:val="single" w:sz="8" w:space="0" w:color="2A2A2A" w:themeColor="accent2"/>
        <w:right w:val="single" w:sz="8" w:space="0" w:color="2A2A2A" w:themeColor="accent2"/>
      </w:tblBorders>
    </w:tblPr>
    <w:tblStylePr w:type="firstRow">
      <w:pPr>
        <w:spacing w:before="0" w:after="0" w:line="240" w:lineRule="auto"/>
      </w:pPr>
      <w:rPr>
        <w:b/>
        <w:bCs/>
        <w:color w:val="FFFFFF" w:themeColor="background1"/>
      </w:rPr>
      <w:tblPr/>
      <w:tcPr>
        <w:shd w:val="clear" w:color="auto" w:fill="2A2A2A" w:themeFill="accent2"/>
      </w:tcPr>
    </w:tblStylePr>
    <w:tblStylePr w:type="lastRow">
      <w:pPr>
        <w:spacing w:before="0" w:after="0" w:line="240" w:lineRule="auto"/>
      </w:pPr>
      <w:rPr>
        <w:b/>
        <w:bCs/>
      </w:rPr>
      <w:tblPr/>
      <w:tcPr>
        <w:tcBorders>
          <w:top w:val="double" w:sz="6" w:space="0" w:color="2A2A2A" w:themeColor="accent2"/>
          <w:left w:val="single" w:sz="8" w:space="0" w:color="2A2A2A" w:themeColor="accent2"/>
          <w:bottom w:val="single" w:sz="8" w:space="0" w:color="2A2A2A" w:themeColor="accent2"/>
          <w:right w:val="single" w:sz="8" w:space="0" w:color="2A2A2A" w:themeColor="accent2"/>
        </w:tcBorders>
      </w:tcPr>
    </w:tblStylePr>
    <w:tblStylePr w:type="firstCol">
      <w:rPr>
        <w:b/>
        <w:bCs/>
      </w:rPr>
    </w:tblStylePr>
    <w:tblStylePr w:type="lastCol">
      <w:rPr>
        <w:b/>
        <w:bCs/>
      </w:rPr>
    </w:tblStylePr>
    <w:tblStylePr w:type="band1Vert">
      <w:tblPr/>
      <w:tcPr>
        <w:tcBorders>
          <w:top w:val="single" w:sz="8" w:space="0" w:color="2A2A2A" w:themeColor="accent2"/>
          <w:left w:val="single" w:sz="8" w:space="0" w:color="2A2A2A" w:themeColor="accent2"/>
          <w:bottom w:val="single" w:sz="8" w:space="0" w:color="2A2A2A" w:themeColor="accent2"/>
          <w:right w:val="single" w:sz="8" w:space="0" w:color="2A2A2A" w:themeColor="accent2"/>
        </w:tcBorders>
      </w:tcPr>
    </w:tblStylePr>
    <w:tblStylePr w:type="band1Horz">
      <w:tblPr/>
      <w:tcPr>
        <w:tcBorders>
          <w:top w:val="single" w:sz="8" w:space="0" w:color="2A2A2A" w:themeColor="accent2"/>
          <w:left w:val="single" w:sz="8" w:space="0" w:color="2A2A2A" w:themeColor="accent2"/>
          <w:bottom w:val="single" w:sz="8" w:space="0" w:color="2A2A2A" w:themeColor="accent2"/>
          <w:right w:val="single" w:sz="8" w:space="0" w:color="2A2A2A" w:themeColor="accent2"/>
        </w:tcBorders>
      </w:tcPr>
    </w:tblStylePr>
  </w:style>
  <w:style w:type="table" w:styleId="LightList">
    <w:name w:val="Light List"/>
    <w:basedOn w:val="TableNormal"/>
    <w:uiPriority w:val="61"/>
    <w:rsid w:val="007B6D00"/>
    <w:tblPr>
      <w:tblStyleRowBandSize w:val="1"/>
      <w:tblStyleColBandSize w:val="1"/>
      <w:tblBorders>
        <w:top w:val="single" w:sz="8" w:space="0" w:color="2A2A2A" w:themeColor="text1"/>
        <w:left w:val="single" w:sz="8" w:space="0" w:color="2A2A2A" w:themeColor="text1"/>
        <w:bottom w:val="single" w:sz="8" w:space="0" w:color="2A2A2A" w:themeColor="text1"/>
        <w:right w:val="single" w:sz="8" w:space="0" w:color="2A2A2A" w:themeColor="text1"/>
      </w:tblBorders>
    </w:tblPr>
    <w:tblStylePr w:type="firstRow">
      <w:pPr>
        <w:spacing w:before="0" w:after="0" w:line="240" w:lineRule="auto"/>
      </w:pPr>
      <w:rPr>
        <w:b/>
        <w:bCs/>
        <w:color w:val="FFFFFF" w:themeColor="background1"/>
      </w:rPr>
      <w:tblPr/>
      <w:tcPr>
        <w:shd w:val="clear" w:color="auto" w:fill="2A2A2A" w:themeFill="text1"/>
      </w:tcPr>
    </w:tblStylePr>
    <w:tblStylePr w:type="lastRow">
      <w:pPr>
        <w:spacing w:before="0" w:after="0" w:line="240" w:lineRule="auto"/>
      </w:pPr>
      <w:rPr>
        <w:b/>
        <w:bCs/>
      </w:rPr>
      <w:tblPr/>
      <w:tcPr>
        <w:tcBorders>
          <w:top w:val="double" w:sz="6" w:space="0" w:color="2A2A2A" w:themeColor="text1"/>
          <w:left w:val="single" w:sz="8" w:space="0" w:color="2A2A2A" w:themeColor="text1"/>
          <w:bottom w:val="single" w:sz="8" w:space="0" w:color="2A2A2A" w:themeColor="text1"/>
          <w:right w:val="single" w:sz="8" w:space="0" w:color="2A2A2A" w:themeColor="text1"/>
        </w:tcBorders>
      </w:tcPr>
    </w:tblStylePr>
    <w:tblStylePr w:type="firstCol">
      <w:rPr>
        <w:b/>
        <w:bCs/>
      </w:rPr>
    </w:tblStylePr>
    <w:tblStylePr w:type="lastCol">
      <w:rPr>
        <w:b/>
        <w:bCs/>
      </w:rPr>
    </w:tblStylePr>
    <w:tblStylePr w:type="band1Vert">
      <w:tblPr/>
      <w:tcPr>
        <w:tcBorders>
          <w:top w:val="single" w:sz="8" w:space="0" w:color="2A2A2A" w:themeColor="text1"/>
          <w:left w:val="single" w:sz="8" w:space="0" w:color="2A2A2A" w:themeColor="text1"/>
          <w:bottom w:val="single" w:sz="8" w:space="0" w:color="2A2A2A" w:themeColor="text1"/>
          <w:right w:val="single" w:sz="8" w:space="0" w:color="2A2A2A" w:themeColor="text1"/>
        </w:tcBorders>
      </w:tcPr>
    </w:tblStylePr>
    <w:tblStylePr w:type="band1Horz">
      <w:tblPr/>
      <w:tcPr>
        <w:tcBorders>
          <w:top w:val="single" w:sz="8" w:space="0" w:color="2A2A2A" w:themeColor="text1"/>
          <w:left w:val="single" w:sz="8" w:space="0" w:color="2A2A2A" w:themeColor="text1"/>
          <w:bottom w:val="single" w:sz="8" w:space="0" w:color="2A2A2A" w:themeColor="text1"/>
          <w:right w:val="single" w:sz="8" w:space="0" w:color="2A2A2A" w:themeColor="text1"/>
        </w:tcBorders>
      </w:tcPr>
    </w:tblStylePr>
  </w:style>
  <w:style w:type="paragraph" w:styleId="NoSpacing">
    <w:name w:val="No Spacing"/>
    <w:uiPriority w:val="1"/>
    <w:qFormat/>
    <w:rsid w:val="00BE38E9"/>
    <w:rPr>
      <w:sz w:val="24"/>
    </w:rPr>
  </w:style>
  <w:style w:type="character" w:styleId="UnresolvedMention">
    <w:name w:val="Unresolved Mention"/>
    <w:basedOn w:val="DefaultParagraphFont"/>
    <w:uiPriority w:val="99"/>
    <w:semiHidden/>
    <w:unhideWhenUsed/>
    <w:rsid w:val="00C93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590">
      <w:bodyDiv w:val="1"/>
      <w:marLeft w:val="0"/>
      <w:marRight w:val="0"/>
      <w:marTop w:val="0"/>
      <w:marBottom w:val="0"/>
      <w:divBdr>
        <w:top w:val="none" w:sz="0" w:space="0" w:color="auto"/>
        <w:left w:val="none" w:sz="0" w:space="0" w:color="auto"/>
        <w:bottom w:val="none" w:sz="0" w:space="0" w:color="auto"/>
        <w:right w:val="none" w:sz="0" w:space="0" w:color="auto"/>
      </w:divBdr>
    </w:div>
    <w:div w:id="255404815">
      <w:bodyDiv w:val="1"/>
      <w:marLeft w:val="0"/>
      <w:marRight w:val="0"/>
      <w:marTop w:val="0"/>
      <w:marBottom w:val="0"/>
      <w:divBdr>
        <w:top w:val="none" w:sz="0" w:space="0" w:color="auto"/>
        <w:left w:val="none" w:sz="0" w:space="0" w:color="auto"/>
        <w:bottom w:val="none" w:sz="0" w:space="0" w:color="auto"/>
        <w:right w:val="none" w:sz="0" w:space="0" w:color="auto"/>
      </w:divBdr>
    </w:div>
    <w:div w:id="259411122">
      <w:bodyDiv w:val="1"/>
      <w:marLeft w:val="0"/>
      <w:marRight w:val="0"/>
      <w:marTop w:val="0"/>
      <w:marBottom w:val="0"/>
      <w:divBdr>
        <w:top w:val="none" w:sz="0" w:space="0" w:color="auto"/>
        <w:left w:val="none" w:sz="0" w:space="0" w:color="auto"/>
        <w:bottom w:val="none" w:sz="0" w:space="0" w:color="auto"/>
        <w:right w:val="none" w:sz="0" w:space="0" w:color="auto"/>
      </w:divBdr>
    </w:div>
    <w:div w:id="399452267">
      <w:bodyDiv w:val="1"/>
      <w:marLeft w:val="0"/>
      <w:marRight w:val="0"/>
      <w:marTop w:val="0"/>
      <w:marBottom w:val="0"/>
      <w:divBdr>
        <w:top w:val="none" w:sz="0" w:space="0" w:color="auto"/>
        <w:left w:val="none" w:sz="0" w:space="0" w:color="auto"/>
        <w:bottom w:val="none" w:sz="0" w:space="0" w:color="auto"/>
        <w:right w:val="none" w:sz="0" w:space="0" w:color="auto"/>
      </w:divBdr>
    </w:div>
    <w:div w:id="426468789">
      <w:bodyDiv w:val="1"/>
      <w:marLeft w:val="0"/>
      <w:marRight w:val="0"/>
      <w:marTop w:val="0"/>
      <w:marBottom w:val="0"/>
      <w:divBdr>
        <w:top w:val="none" w:sz="0" w:space="0" w:color="auto"/>
        <w:left w:val="none" w:sz="0" w:space="0" w:color="auto"/>
        <w:bottom w:val="none" w:sz="0" w:space="0" w:color="auto"/>
        <w:right w:val="none" w:sz="0" w:space="0" w:color="auto"/>
      </w:divBdr>
    </w:div>
    <w:div w:id="480729310">
      <w:bodyDiv w:val="1"/>
      <w:marLeft w:val="0"/>
      <w:marRight w:val="0"/>
      <w:marTop w:val="0"/>
      <w:marBottom w:val="0"/>
      <w:divBdr>
        <w:top w:val="none" w:sz="0" w:space="0" w:color="auto"/>
        <w:left w:val="none" w:sz="0" w:space="0" w:color="auto"/>
        <w:bottom w:val="none" w:sz="0" w:space="0" w:color="auto"/>
        <w:right w:val="none" w:sz="0" w:space="0" w:color="auto"/>
      </w:divBdr>
    </w:div>
    <w:div w:id="598484296">
      <w:bodyDiv w:val="1"/>
      <w:marLeft w:val="0"/>
      <w:marRight w:val="0"/>
      <w:marTop w:val="0"/>
      <w:marBottom w:val="0"/>
      <w:divBdr>
        <w:top w:val="none" w:sz="0" w:space="0" w:color="auto"/>
        <w:left w:val="none" w:sz="0" w:space="0" w:color="auto"/>
        <w:bottom w:val="none" w:sz="0" w:space="0" w:color="auto"/>
        <w:right w:val="none" w:sz="0" w:space="0" w:color="auto"/>
      </w:divBdr>
    </w:div>
    <w:div w:id="740979978">
      <w:bodyDiv w:val="1"/>
      <w:marLeft w:val="0"/>
      <w:marRight w:val="0"/>
      <w:marTop w:val="0"/>
      <w:marBottom w:val="0"/>
      <w:divBdr>
        <w:top w:val="none" w:sz="0" w:space="0" w:color="auto"/>
        <w:left w:val="none" w:sz="0" w:space="0" w:color="auto"/>
        <w:bottom w:val="none" w:sz="0" w:space="0" w:color="auto"/>
        <w:right w:val="none" w:sz="0" w:space="0" w:color="auto"/>
      </w:divBdr>
    </w:div>
    <w:div w:id="920522714">
      <w:bodyDiv w:val="1"/>
      <w:marLeft w:val="0"/>
      <w:marRight w:val="0"/>
      <w:marTop w:val="0"/>
      <w:marBottom w:val="0"/>
      <w:divBdr>
        <w:top w:val="none" w:sz="0" w:space="0" w:color="auto"/>
        <w:left w:val="none" w:sz="0" w:space="0" w:color="auto"/>
        <w:bottom w:val="none" w:sz="0" w:space="0" w:color="auto"/>
        <w:right w:val="none" w:sz="0" w:space="0" w:color="auto"/>
      </w:divBdr>
    </w:div>
    <w:div w:id="941768032">
      <w:bodyDiv w:val="1"/>
      <w:marLeft w:val="0"/>
      <w:marRight w:val="0"/>
      <w:marTop w:val="0"/>
      <w:marBottom w:val="0"/>
      <w:divBdr>
        <w:top w:val="none" w:sz="0" w:space="0" w:color="auto"/>
        <w:left w:val="none" w:sz="0" w:space="0" w:color="auto"/>
        <w:bottom w:val="none" w:sz="0" w:space="0" w:color="auto"/>
        <w:right w:val="none" w:sz="0" w:space="0" w:color="auto"/>
      </w:divBdr>
    </w:div>
    <w:div w:id="1156916243">
      <w:bodyDiv w:val="1"/>
      <w:marLeft w:val="0"/>
      <w:marRight w:val="0"/>
      <w:marTop w:val="0"/>
      <w:marBottom w:val="0"/>
      <w:divBdr>
        <w:top w:val="none" w:sz="0" w:space="0" w:color="auto"/>
        <w:left w:val="none" w:sz="0" w:space="0" w:color="auto"/>
        <w:bottom w:val="none" w:sz="0" w:space="0" w:color="auto"/>
        <w:right w:val="none" w:sz="0" w:space="0" w:color="auto"/>
      </w:divBdr>
    </w:div>
    <w:div w:id="1199709070">
      <w:bodyDiv w:val="1"/>
      <w:marLeft w:val="0"/>
      <w:marRight w:val="0"/>
      <w:marTop w:val="0"/>
      <w:marBottom w:val="0"/>
      <w:divBdr>
        <w:top w:val="none" w:sz="0" w:space="0" w:color="auto"/>
        <w:left w:val="none" w:sz="0" w:space="0" w:color="auto"/>
        <w:bottom w:val="none" w:sz="0" w:space="0" w:color="auto"/>
        <w:right w:val="none" w:sz="0" w:space="0" w:color="auto"/>
      </w:divBdr>
    </w:div>
    <w:div w:id="1282614775">
      <w:bodyDiv w:val="1"/>
      <w:marLeft w:val="0"/>
      <w:marRight w:val="0"/>
      <w:marTop w:val="0"/>
      <w:marBottom w:val="0"/>
      <w:divBdr>
        <w:top w:val="none" w:sz="0" w:space="0" w:color="auto"/>
        <w:left w:val="none" w:sz="0" w:space="0" w:color="auto"/>
        <w:bottom w:val="none" w:sz="0" w:space="0" w:color="auto"/>
        <w:right w:val="none" w:sz="0" w:space="0" w:color="auto"/>
      </w:divBdr>
    </w:div>
    <w:div w:id="1520654818">
      <w:bodyDiv w:val="1"/>
      <w:marLeft w:val="0"/>
      <w:marRight w:val="0"/>
      <w:marTop w:val="0"/>
      <w:marBottom w:val="0"/>
      <w:divBdr>
        <w:top w:val="none" w:sz="0" w:space="0" w:color="auto"/>
        <w:left w:val="none" w:sz="0" w:space="0" w:color="auto"/>
        <w:bottom w:val="none" w:sz="0" w:space="0" w:color="auto"/>
        <w:right w:val="none" w:sz="0" w:space="0" w:color="auto"/>
      </w:divBdr>
    </w:div>
    <w:div w:id="1634402469">
      <w:bodyDiv w:val="1"/>
      <w:marLeft w:val="0"/>
      <w:marRight w:val="0"/>
      <w:marTop w:val="0"/>
      <w:marBottom w:val="0"/>
      <w:divBdr>
        <w:top w:val="none" w:sz="0" w:space="0" w:color="auto"/>
        <w:left w:val="none" w:sz="0" w:space="0" w:color="auto"/>
        <w:bottom w:val="none" w:sz="0" w:space="0" w:color="auto"/>
        <w:right w:val="none" w:sz="0" w:space="0" w:color="auto"/>
      </w:divBdr>
    </w:div>
    <w:div w:id="1650864282">
      <w:bodyDiv w:val="1"/>
      <w:marLeft w:val="0"/>
      <w:marRight w:val="0"/>
      <w:marTop w:val="0"/>
      <w:marBottom w:val="0"/>
      <w:divBdr>
        <w:top w:val="none" w:sz="0" w:space="0" w:color="auto"/>
        <w:left w:val="none" w:sz="0" w:space="0" w:color="auto"/>
        <w:bottom w:val="none" w:sz="0" w:space="0" w:color="auto"/>
        <w:right w:val="none" w:sz="0" w:space="0" w:color="auto"/>
      </w:divBdr>
    </w:div>
    <w:div w:id="1662659436">
      <w:bodyDiv w:val="1"/>
      <w:marLeft w:val="0"/>
      <w:marRight w:val="0"/>
      <w:marTop w:val="0"/>
      <w:marBottom w:val="0"/>
      <w:divBdr>
        <w:top w:val="none" w:sz="0" w:space="0" w:color="auto"/>
        <w:left w:val="none" w:sz="0" w:space="0" w:color="auto"/>
        <w:bottom w:val="none" w:sz="0" w:space="0" w:color="auto"/>
        <w:right w:val="none" w:sz="0" w:space="0" w:color="auto"/>
      </w:divBdr>
    </w:div>
    <w:div w:id="1734691305">
      <w:bodyDiv w:val="1"/>
      <w:marLeft w:val="0"/>
      <w:marRight w:val="0"/>
      <w:marTop w:val="0"/>
      <w:marBottom w:val="0"/>
      <w:divBdr>
        <w:top w:val="none" w:sz="0" w:space="0" w:color="auto"/>
        <w:left w:val="none" w:sz="0" w:space="0" w:color="auto"/>
        <w:bottom w:val="none" w:sz="0" w:space="0" w:color="auto"/>
        <w:right w:val="none" w:sz="0" w:space="0" w:color="auto"/>
      </w:divBdr>
    </w:div>
    <w:div w:id="174484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www.australiainstitute.org.au"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lly\AppData\Local\Microsoft\Windows\INetCache\Content.Outlook\36H5VFUH\mail@australiainstitute.org.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www.australiainstitute.org.au"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s://www.aemo.com.au/learn/energy-explained/energy-101/energy-explained-minimum-operational-demand" TargetMode="External"/></Relationships>
</file>

<file path=word/theme/theme1.xml><?xml version="1.0" encoding="utf-8"?>
<a:theme xmlns:a="http://schemas.openxmlformats.org/drawingml/2006/main" name="Office Theme">
  <a:themeElements>
    <a:clrScheme name="TAI">
      <a:dk1>
        <a:srgbClr val="2A2A2A"/>
      </a:dk1>
      <a:lt1>
        <a:srgbClr val="FFFFFF"/>
      </a:lt1>
      <a:dk2>
        <a:srgbClr val="002F6C"/>
      </a:dk2>
      <a:lt2>
        <a:srgbClr val="EEECE1"/>
      </a:lt2>
      <a:accent1>
        <a:srgbClr val="002F6C"/>
      </a:accent1>
      <a:accent2>
        <a:srgbClr val="2A2A2A"/>
      </a:accent2>
      <a:accent3>
        <a:srgbClr val="00A2FF"/>
      </a:accent3>
      <a:accent4>
        <a:srgbClr val="63666A"/>
      </a:accent4>
      <a:accent5>
        <a:srgbClr val="FF5E00"/>
      </a:accent5>
      <a:accent6>
        <a:srgbClr val="6B3D00"/>
      </a:accent6>
      <a:hlink>
        <a:srgbClr val="00A2FF"/>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Tai5 oxy.XSL" StyleName="ChicagoFootnotesTAI*"/>
</file>

<file path=customXml/itemProps1.xml><?xml version="1.0" encoding="utf-8"?>
<ds:datastoreItem xmlns:ds="http://schemas.openxmlformats.org/officeDocument/2006/customXml" ds:itemID="{E060739D-50E2-4BE3-8207-BFC8C043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Browne</dc:creator>
  <cp:keywords/>
  <dc:description/>
  <cp:lastModifiedBy>Polly Hemming</cp:lastModifiedBy>
  <cp:revision>5</cp:revision>
  <cp:lastPrinted>2019-08-08T01:18:00Z</cp:lastPrinted>
  <dcterms:created xsi:type="dcterms:W3CDTF">2021-10-21T05:35:00Z</dcterms:created>
  <dcterms:modified xsi:type="dcterms:W3CDTF">2021-10-21T06:02:00Z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zotero-version="5.0.34.4"&gt;&lt;session id="XDZUdshj"/&gt;&lt;style id="http://www.zotero.org/styles/chicago-fullnote-bibliography" locale="en-US" hasBibliography="1" bibliographyStyleHasBeenSet="1"/&gt;&lt;prefs&gt;&lt;pref name="fieldType" value="Field"</vt:lpwstr>
  </property>
  <property fmtid="{D5CDD505-2E9C-101B-9397-08002B2CF9AE}" pid="10" name="ZOTERO_PREF_2">
    <vt:lpwstr>/&gt;&lt;pref name="automaticJournalAbbreviations" value="true"/&gt;&lt;pref name="noteType" value="1"/&gt;&lt;/prefs&gt;&lt;/data&gt;</vt:lpwstr>
  </property>
</Properties>
</file>